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5E60" w14:textId="77777777" w:rsidR="00C85F73" w:rsidRPr="0083743E" w:rsidRDefault="00C85F73" w:rsidP="0083743E">
      <w:pPr>
        <w:pStyle w:val="Heading1"/>
      </w:pPr>
      <w:r w:rsidRPr="0083743E">
        <w:t xml:space="preserve">NOTICE OF NEW REGULATION </w:t>
      </w:r>
    </w:p>
    <w:p w14:paraId="2F8E6D0E"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05FA864F" w14:textId="496D8431" w:rsidR="00C85F73" w:rsidRDefault="00ED7A0D"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March 15, 2022</w:t>
      </w:r>
    </w:p>
    <w:p w14:paraId="76FF3E77" w14:textId="77777777" w:rsidR="00693E46" w:rsidRPr="007A6DBD"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748285A2" w14:textId="77777777" w:rsidR="00A870F8" w:rsidRDefault="00A870F8" w:rsidP="0083743E">
      <w:pPr>
        <w:pStyle w:val="Heading2"/>
      </w:pPr>
    </w:p>
    <w:p w14:paraId="390C5D28" w14:textId="5EE43999" w:rsidR="00C85F73" w:rsidRPr="0083743E" w:rsidRDefault="00F02973" w:rsidP="0083743E">
      <w:pPr>
        <w:pStyle w:val="Heading2"/>
      </w:pPr>
      <w:r>
        <w:t>FLORIDA BOARD OF GOVERNORS</w:t>
      </w:r>
    </w:p>
    <w:p w14:paraId="2A5EA02C"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Division of Universities</w:t>
      </w:r>
    </w:p>
    <w:p w14:paraId="0B338D42"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smartTag w:uri="urn:schemas-microsoft-com:office:smarttags" w:element="place">
        <w:smartTag w:uri="urn:schemas-microsoft-com:office:smarttags" w:element="City">
          <w:r w:rsidRPr="003F3FC6">
            <w:rPr>
              <w:rFonts w:ascii="Arial" w:hAnsi="Arial" w:cs="Arial"/>
              <w:sz w:val="22"/>
              <w:szCs w:val="22"/>
            </w:rPr>
            <w:t>University of North</w:t>
          </w:r>
        </w:smartTag>
        <w:r w:rsidRPr="003F3FC6">
          <w:rPr>
            <w:rFonts w:ascii="Arial" w:hAnsi="Arial" w:cs="Arial"/>
            <w:sz w:val="22"/>
            <w:szCs w:val="22"/>
          </w:rPr>
          <w:t xml:space="preserve"> </w:t>
        </w:r>
        <w:smartTag w:uri="urn:schemas-microsoft-com:office:smarttags" w:element="State">
          <w:r w:rsidRPr="003F3FC6">
            <w:rPr>
              <w:rFonts w:ascii="Arial" w:hAnsi="Arial" w:cs="Arial"/>
              <w:sz w:val="22"/>
              <w:szCs w:val="22"/>
            </w:rPr>
            <w:t>Florida</w:t>
          </w:r>
        </w:smartTag>
      </w:smartTag>
    </w:p>
    <w:p w14:paraId="53BEC536"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8A09736" w14:textId="77777777" w:rsidR="00C85F73" w:rsidRDefault="00C85F73" w:rsidP="0083743E">
      <w:pPr>
        <w:pStyle w:val="Heading2"/>
      </w:pPr>
      <w:r>
        <w:t>REGULATION TITLE:</w:t>
      </w:r>
    </w:p>
    <w:p w14:paraId="23D5D05B" w14:textId="039B7E90" w:rsidR="0083743E" w:rsidRPr="00ED7A0D" w:rsidRDefault="00ED7A0D"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D7A0D">
        <w:rPr>
          <w:rFonts w:ascii="Arial" w:hAnsi="Arial" w:cs="Arial"/>
          <w:sz w:val="22"/>
          <w:szCs w:val="22"/>
        </w:rPr>
        <w:t>Eminent Scholars Program</w:t>
      </w:r>
    </w:p>
    <w:p w14:paraId="5CA6EF73"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B3CF80E" w14:textId="77777777" w:rsidR="0083743E" w:rsidRPr="0093584F" w:rsidRDefault="00C85F73" w:rsidP="0083743E">
      <w:pPr>
        <w:pStyle w:val="Heading2"/>
        <w:rPr>
          <w:sz w:val="24"/>
          <w:szCs w:val="24"/>
        </w:rPr>
      </w:pPr>
      <w:r>
        <w:t>REGULATION NO.:</w:t>
      </w:r>
    </w:p>
    <w:p w14:paraId="3D04EC6E" w14:textId="627DC1F0" w:rsidR="00C85F73" w:rsidRDefault="00ED7A0D"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2.1080R</w:t>
      </w:r>
      <w:r w:rsidR="00C85F73" w:rsidRPr="003D76BA">
        <w:rPr>
          <w:rFonts w:ascii="Arial" w:hAnsi="Arial" w:cs="Arial"/>
          <w:sz w:val="22"/>
          <w:szCs w:val="22"/>
        </w:rPr>
        <w:tab/>
      </w:r>
    </w:p>
    <w:p w14:paraId="00EF0C69" w14:textId="77777777" w:rsidR="00C85F73" w:rsidRPr="003D76BA"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DBBC074" w14:textId="77777777" w:rsidR="00C85F73" w:rsidRDefault="00C85F73" w:rsidP="0083743E">
      <w:pPr>
        <w:pStyle w:val="Heading2"/>
      </w:pPr>
      <w:r>
        <w:t>SUMMARY:</w:t>
      </w:r>
    </w:p>
    <w:p w14:paraId="7B41399E" w14:textId="409F7285" w:rsidR="00693E46" w:rsidRPr="00A870F8" w:rsidRDefault="00A870F8"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sz w:val="22"/>
          <w:szCs w:val="22"/>
        </w:rPr>
      </w:pPr>
      <w:r>
        <w:rPr>
          <w:rFonts w:ascii="Arial" w:hAnsi="Arial" w:cs="Arial"/>
          <w:iCs/>
          <w:sz w:val="22"/>
          <w:szCs w:val="22"/>
        </w:rPr>
        <w:t xml:space="preserve">The proposed new regulation is consistent with BOG requirements and provides guidance regarding the expenditure of funds under UNF’s Eminent Scholars Program.  </w:t>
      </w:r>
    </w:p>
    <w:p w14:paraId="104C4B73"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9F747BA" w14:textId="77777777" w:rsidR="00C85F73" w:rsidRDefault="00C85F73" w:rsidP="0083743E">
      <w:pPr>
        <w:pStyle w:val="Heading2"/>
      </w:pPr>
      <w:r>
        <w:t>FULL TEXT:</w:t>
      </w:r>
    </w:p>
    <w:p w14:paraId="7E879950"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A6DBD">
        <w:rPr>
          <w:rFonts w:ascii="Arial" w:hAnsi="Arial" w:cs="Arial"/>
          <w:sz w:val="22"/>
          <w:szCs w:val="22"/>
        </w:rPr>
        <w:t>The full text of the</w:t>
      </w:r>
      <w:r>
        <w:rPr>
          <w:rFonts w:ascii="Arial" w:hAnsi="Arial" w:cs="Arial"/>
          <w:sz w:val="22"/>
          <w:szCs w:val="22"/>
        </w:rPr>
        <w:t xml:space="preserve"> regulation being proposed</w:t>
      </w:r>
      <w:r w:rsidRPr="007A6DBD">
        <w:rPr>
          <w:rFonts w:ascii="Arial" w:hAnsi="Arial" w:cs="Arial"/>
          <w:sz w:val="22"/>
          <w:szCs w:val="22"/>
        </w:rPr>
        <w:t xml:space="preserve"> is attached.</w:t>
      </w:r>
    </w:p>
    <w:p w14:paraId="33117DBC"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41116FE3" w14:textId="77777777" w:rsidR="00C85F73" w:rsidRDefault="00C85F73" w:rsidP="0083743E">
      <w:pPr>
        <w:pStyle w:val="Heading2"/>
      </w:pPr>
      <w:r>
        <w:t>AUTHORITY:</w:t>
      </w:r>
    </w:p>
    <w:p w14:paraId="54FE2218" w14:textId="6E08313B" w:rsidR="00C85F73" w:rsidRDefault="00A870F8"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Florida Constitution, Article IX, section 7(c)</w:t>
      </w:r>
    </w:p>
    <w:p w14:paraId="346EC943" w14:textId="3DCFB117" w:rsidR="00C85F73" w:rsidRDefault="00A870F8"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Board of Governors Regulation 9.019</w:t>
      </w:r>
    </w:p>
    <w:p w14:paraId="192BE150"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36F88F6" w14:textId="77777777" w:rsidR="00C85F73" w:rsidRDefault="00C85F73" w:rsidP="0083743E">
      <w:pPr>
        <w:pStyle w:val="Heading2"/>
      </w:pPr>
      <w:r>
        <w:t xml:space="preserve">UNIVERSITY OFFICIAL INITIATING THE PROPOSED REGULATION: </w:t>
      </w:r>
    </w:p>
    <w:p w14:paraId="28E62979" w14:textId="484D773D" w:rsidR="00C85F73" w:rsidRDefault="00A870F8"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Teresa Nichols, CFRE, Interim Vice President for University Development and Alumni Engagement</w:t>
      </w:r>
    </w:p>
    <w:p w14:paraId="20D1D436"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CC6D982"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63932B6A" w14:textId="77777777" w:rsidR="00C85F73" w:rsidRDefault="00C85F73" w:rsidP="0083743E">
      <w:pPr>
        <w:pStyle w:val="Heading2"/>
      </w:pPr>
      <w:r>
        <w:t>INDIVIDUAL TO BE CONTACTED REGARDING THE PROPOSED REGULATION:</w:t>
      </w:r>
    </w:p>
    <w:p w14:paraId="1FF55D86" w14:textId="77777777"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E078D">
        <w:rPr>
          <w:rFonts w:ascii="Arial" w:hAnsi="Arial" w:cs="Arial"/>
          <w:sz w:val="22"/>
          <w:szCs w:val="22"/>
        </w:rPr>
        <w:t>Stephanie Howell, Paralegal</w:t>
      </w:r>
      <w:r>
        <w:rPr>
          <w:rFonts w:ascii="Arial" w:hAnsi="Arial" w:cs="Arial"/>
          <w:sz w:val="22"/>
          <w:szCs w:val="22"/>
        </w:rPr>
        <w:t xml:space="preserve">, Office of the General Counsel, </w:t>
      </w:r>
      <w:hyperlink r:id="rId10" w:history="1">
        <w:r w:rsidRPr="00417CE2">
          <w:rPr>
            <w:rStyle w:val="Hyperlink"/>
            <w:rFonts w:ascii="Arial" w:hAnsi="Arial" w:cs="Arial"/>
            <w:sz w:val="22"/>
            <w:szCs w:val="22"/>
          </w:rPr>
          <w:t>showell@unf.edu</w:t>
        </w:r>
      </w:hyperlink>
      <w:r>
        <w:rPr>
          <w:rFonts w:ascii="Arial" w:hAnsi="Arial" w:cs="Arial"/>
          <w:sz w:val="22"/>
          <w:szCs w:val="22"/>
        </w:rPr>
        <w:t>, phone (904)620-2828; fax (9</w:t>
      </w:r>
      <w:r w:rsidR="00C4250B">
        <w:rPr>
          <w:rFonts w:ascii="Arial" w:hAnsi="Arial" w:cs="Arial"/>
          <w:sz w:val="22"/>
          <w:szCs w:val="22"/>
        </w:rPr>
        <w:t>04)620-1044; Building 1, Room 21</w:t>
      </w:r>
      <w:r>
        <w:rPr>
          <w:rFonts w:ascii="Arial" w:hAnsi="Arial" w:cs="Arial"/>
          <w:sz w:val="22"/>
          <w:szCs w:val="22"/>
        </w:rPr>
        <w:t xml:space="preserve">00, </w:t>
      </w:r>
      <w:r w:rsidR="00C4250B">
        <w:rPr>
          <w:rFonts w:ascii="Arial" w:hAnsi="Arial" w:cs="Arial"/>
          <w:sz w:val="22"/>
          <w:szCs w:val="22"/>
        </w:rPr>
        <w:t xml:space="preserve">1 UNF Drive, </w:t>
      </w:r>
      <w:r>
        <w:rPr>
          <w:rFonts w:ascii="Arial" w:hAnsi="Arial" w:cs="Arial"/>
          <w:sz w:val="22"/>
          <w:szCs w:val="22"/>
        </w:rPr>
        <w:t>Jacksonville, FL 32224.</w:t>
      </w:r>
    </w:p>
    <w:p w14:paraId="23119341"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255B1792" w14:textId="77777777" w:rsidR="00A870F8" w:rsidRDefault="00A870F8"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744AF994" w14:textId="04615734"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r w:rsidRPr="00BE078D">
        <w:rPr>
          <w:rFonts w:ascii="Arial" w:hAnsi="Arial" w:cs="Arial"/>
          <w:b/>
          <w:bCs/>
          <w:i/>
          <w:iCs/>
          <w:sz w:val="22"/>
          <w:szCs w:val="22"/>
        </w:rPr>
        <w:t>Any</w:t>
      </w:r>
      <w:r>
        <w:rPr>
          <w:rFonts w:ascii="Arial" w:hAnsi="Arial" w:cs="Arial"/>
          <w:b/>
          <w:bCs/>
          <w:i/>
          <w:iCs/>
          <w:sz w:val="22"/>
          <w:szCs w:val="22"/>
        </w:rPr>
        <w:t xml:space="preserve"> comments regarding the </w:t>
      </w:r>
      <w:r w:rsidR="00D2153B">
        <w:rPr>
          <w:rFonts w:ascii="Arial" w:hAnsi="Arial" w:cs="Arial"/>
          <w:b/>
          <w:bCs/>
          <w:i/>
          <w:iCs/>
          <w:sz w:val="22"/>
          <w:szCs w:val="22"/>
        </w:rPr>
        <w:t>new</w:t>
      </w:r>
      <w:r>
        <w:rPr>
          <w:rFonts w:ascii="Arial" w:hAnsi="Arial" w:cs="Arial"/>
          <w:b/>
          <w:bCs/>
          <w:i/>
          <w:iCs/>
          <w:sz w:val="22"/>
          <w:szCs w:val="22"/>
        </w:rPr>
        <w:t xml:space="preserve"> of the</w:t>
      </w:r>
      <w:r w:rsidRPr="00BE078D">
        <w:rPr>
          <w:rFonts w:ascii="Arial" w:hAnsi="Arial" w:cs="Arial"/>
          <w:b/>
          <w:bCs/>
          <w:i/>
          <w:iCs/>
          <w:sz w:val="22"/>
          <w:szCs w:val="22"/>
        </w:rPr>
        <w:t xml:space="preserve"> regulation must be sent in writing to the contact person on or before</w:t>
      </w:r>
      <w:r w:rsidR="00693E46">
        <w:rPr>
          <w:rFonts w:ascii="Arial" w:hAnsi="Arial" w:cs="Arial"/>
          <w:b/>
          <w:bCs/>
          <w:i/>
          <w:iCs/>
          <w:sz w:val="22"/>
          <w:szCs w:val="22"/>
        </w:rPr>
        <w:t xml:space="preserve"> </w:t>
      </w:r>
      <w:r w:rsidR="00A870F8">
        <w:rPr>
          <w:rFonts w:ascii="Arial" w:hAnsi="Arial" w:cs="Arial"/>
          <w:b/>
          <w:bCs/>
          <w:i/>
          <w:iCs/>
          <w:sz w:val="22"/>
          <w:szCs w:val="22"/>
        </w:rPr>
        <w:t>March 30, 2022</w:t>
      </w:r>
      <w:r>
        <w:rPr>
          <w:rFonts w:ascii="Arial" w:hAnsi="Arial" w:cs="Arial"/>
          <w:b/>
          <w:bCs/>
          <w:i/>
          <w:iCs/>
          <w:sz w:val="22"/>
          <w:szCs w:val="22"/>
        </w:rPr>
        <w:t xml:space="preserve">, to receive full </w:t>
      </w:r>
      <w:r w:rsidRPr="00BE078D">
        <w:rPr>
          <w:rFonts w:ascii="Arial" w:hAnsi="Arial" w:cs="Arial"/>
          <w:b/>
          <w:bCs/>
          <w:i/>
          <w:iCs/>
          <w:sz w:val="22"/>
          <w:szCs w:val="22"/>
        </w:rPr>
        <w:t xml:space="preserve">consideration.  </w:t>
      </w:r>
    </w:p>
    <w:p w14:paraId="7B55A237" w14:textId="692758DC" w:rsidR="00ED7A0D" w:rsidRDefault="00D03168" w:rsidP="00693E46">
      <w:pPr>
        <w:jc w:val="center"/>
        <w:outlineLvl w:val="0"/>
      </w:pPr>
      <w:r w:rsidRPr="00143E80">
        <w:t xml:space="preserve"> </w:t>
      </w:r>
    </w:p>
    <w:p w14:paraId="2588E0C4" w14:textId="77777777" w:rsidR="00ED7A0D" w:rsidRDefault="00ED7A0D">
      <w:r>
        <w:br w:type="page"/>
      </w:r>
    </w:p>
    <w:p w14:paraId="6187C5CF" w14:textId="79DDE20A" w:rsidR="00ED7A0D" w:rsidRPr="00ED7A0D" w:rsidRDefault="00ED7A0D" w:rsidP="00ED7A0D">
      <w:pPr>
        <w:pStyle w:val="Title"/>
        <w:rPr>
          <w:szCs w:val="56"/>
        </w:rPr>
      </w:pPr>
      <w:r>
        <w:rPr>
          <w:noProof/>
        </w:rPr>
        <w:lastRenderedPageBreak/>
        <w:drawing>
          <wp:inline distT="0" distB="0" distL="0" distR="0" wp14:anchorId="184ACC88" wp14:editId="22DAFD21">
            <wp:extent cx="2324100" cy="1028514"/>
            <wp:effectExtent l="0" t="0" r="0" b="635"/>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1809" cy="1031925"/>
                    </a:xfrm>
                    <a:prstGeom prst="rect">
                      <a:avLst/>
                    </a:prstGeom>
                  </pic:spPr>
                </pic:pic>
              </a:graphicData>
            </a:graphic>
          </wp:inline>
        </w:drawing>
      </w:r>
      <w:r>
        <w:t xml:space="preserve">            </w:t>
      </w:r>
      <w:r w:rsidRPr="00ED7A0D">
        <w:rPr>
          <w:sz w:val="64"/>
          <w:szCs w:val="64"/>
        </w:rPr>
        <w:t>Regulation</w:t>
      </w:r>
      <w:r w:rsidRPr="00ED7A0D">
        <w:rPr>
          <w:szCs w:val="56"/>
        </w:rPr>
        <w:t xml:space="preserve"> </w:t>
      </w:r>
    </w:p>
    <w:p w14:paraId="4970724D" w14:textId="77777777" w:rsidR="00ED7A0D" w:rsidRDefault="00ED7A0D" w:rsidP="00ED7A0D">
      <w:pPr>
        <w:widowControl w:val="0"/>
        <w:autoSpaceDE w:val="0"/>
        <w:autoSpaceDN w:val="0"/>
        <w:rPr>
          <w:b/>
          <w:szCs w:val="24"/>
        </w:rPr>
      </w:pPr>
    </w:p>
    <w:p w14:paraId="3926F39D" w14:textId="72170E5F" w:rsidR="00ED7A0D" w:rsidRDefault="00A870F8" w:rsidP="00ED7A0D">
      <w:pPr>
        <w:widowControl w:val="0"/>
        <w:autoSpaceDE w:val="0"/>
        <w:autoSpaceDN w:val="0"/>
        <w:rPr>
          <w:szCs w:val="24"/>
        </w:rPr>
      </w:pPr>
      <w:r>
        <w:rPr>
          <w:b/>
          <w:szCs w:val="24"/>
        </w:rPr>
        <w:t>Regulation</w:t>
      </w:r>
      <w:r w:rsidR="00ED7A0D" w:rsidRPr="00D03C26">
        <w:rPr>
          <w:b/>
          <w:szCs w:val="24"/>
        </w:rPr>
        <w:t xml:space="preserve"> Number</w:t>
      </w:r>
      <w:r w:rsidR="00ED7A0D" w:rsidRPr="00D03C26">
        <w:rPr>
          <w:szCs w:val="24"/>
        </w:rPr>
        <w:t xml:space="preserve">: </w:t>
      </w:r>
      <w:r>
        <w:rPr>
          <w:szCs w:val="24"/>
        </w:rPr>
        <w:t>2.1080R</w:t>
      </w:r>
      <w:r w:rsidR="00ED7A0D">
        <w:rPr>
          <w:szCs w:val="24"/>
        </w:rPr>
        <w:t xml:space="preserve"> </w:t>
      </w:r>
      <w:r w:rsidR="00ED7A0D" w:rsidRPr="00D03C26">
        <w:rPr>
          <w:szCs w:val="24"/>
        </w:rPr>
        <w:tab/>
      </w:r>
    </w:p>
    <w:p w14:paraId="265C9512" w14:textId="77777777" w:rsidR="00ED7A0D" w:rsidRPr="00D03C26" w:rsidRDefault="00ED7A0D" w:rsidP="00ED7A0D">
      <w:pPr>
        <w:widowControl w:val="0"/>
        <w:autoSpaceDE w:val="0"/>
        <w:autoSpaceDN w:val="0"/>
        <w:rPr>
          <w:szCs w:val="24"/>
        </w:rPr>
      </w:pPr>
    </w:p>
    <w:p w14:paraId="2212CF4F" w14:textId="77777777" w:rsidR="00ED7A0D" w:rsidRDefault="00ED7A0D" w:rsidP="00ED7A0D">
      <w:pPr>
        <w:widowControl w:val="0"/>
        <w:autoSpaceDE w:val="0"/>
        <w:autoSpaceDN w:val="0"/>
        <w:rPr>
          <w:szCs w:val="24"/>
        </w:rPr>
      </w:pPr>
      <w:r w:rsidRPr="00D03C26">
        <w:rPr>
          <w:b/>
          <w:szCs w:val="24"/>
        </w:rPr>
        <w:t>Effective Date</w:t>
      </w:r>
      <w:r w:rsidRPr="00D03C26">
        <w:rPr>
          <w:szCs w:val="24"/>
        </w:rPr>
        <w:t xml:space="preserve">:  </w:t>
      </w:r>
      <w:r>
        <w:rPr>
          <w:szCs w:val="24"/>
        </w:rPr>
        <w:t>TBD</w:t>
      </w:r>
      <w:r>
        <w:rPr>
          <w:szCs w:val="24"/>
        </w:rPr>
        <w:tab/>
      </w:r>
      <w:r>
        <w:rPr>
          <w:szCs w:val="24"/>
        </w:rPr>
        <w:tab/>
      </w:r>
      <w:r w:rsidRPr="00D03C26">
        <w:rPr>
          <w:szCs w:val="24"/>
        </w:rPr>
        <w:tab/>
      </w:r>
      <w:r w:rsidRPr="00D03C26">
        <w:rPr>
          <w:szCs w:val="24"/>
        </w:rPr>
        <w:tab/>
      </w:r>
      <w:r w:rsidRPr="00D03C26">
        <w:rPr>
          <w:b/>
          <w:szCs w:val="24"/>
        </w:rPr>
        <w:t>Revised Date</w:t>
      </w:r>
      <w:r w:rsidRPr="00D03C26">
        <w:rPr>
          <w:szCs w:val="24"/>
        </w:rPr>
        <w:t xml:space="preserve">: </w:t>
      </w:r>
      <w:sdt>
        <w:sdtPr>
          <w:rPr>
            <w:szCs w:val="24"/>
          </w:rPr>
          <w:alias w:val="Revised Date "/>
          <w:tag w:val="Enter Revised date MM/DD/YYYY"/>
          <w:id w:val="1954123484"/>
          <w:placeholder>
            <w:docPart w:val="4D1F9C5BBCBC4D849BDB8978A3972904"/>
          </w:placeholder>
          <w15:color w:val="000000"/>
          <w:text/>
        </w:sdtPr>
        <w:sdtContent>
          <w:r>
            <w:rPr>
              <w:szCs w:val="24"/>
            </w:rPr>
            <w:t>N/A</w:t>
          </w:r>
        </w:sdtContent>
      </w:sdt>
    </w:p>
    <w:p w14:paraId="2E2DA0B5" w14:textId="77777777" w:rsidR="00ED7A0D" w:rsidRDefault="00ED7A0D" w:rsidP="00ED7A0D">
      <w:pPr>
        <w:widowControl w:val="0"/>
        <w:autoSpaceDE w:val="0"/>
        <w:autoSpaceDN w:val="0"/>
        <w:rPr>
          <w:szCs w:val="24"/>
        </w:rPr>
      </w:pPr>
    </w:p>
    <w:p w14:paraId="1AF0E015" w14:textId="46A7CB43" w:rsidR="00ED7A0D" w:rsidRPr="00ED7A0D" w:rsidRDefault="00ED7A0D" w:rsidP="00ED7A0D">
      <w:pPr>
        <w:widowControl w:val="0"/>
        <w:autoSpaceDE w:val="0"/>
        <w:autoSpaceDN w:val="0"/>
        <w:rPr>
          <w:szCs w:val="24"/>
        </w:rPr>
      </w:pPr>
      <w:r w:rsidRPr="00ED7A0D">
        <w:rPr>
          <w:b/>
          <w:bCs/>
        </w:rPr>
        <w:t>Subject:</w:t>
      </w:r>
      <w:r w:rsidRPr="00A12561">
        <w:t xml:space="preserve"> </w:t>
      </w:r>
      <w:sdt>
        <w:sdtPr>
          <w:alias w:val="Subject "/>
          <w:tag w:val="Enter policy subject"/>
          <w:id w:val="-1459642324"/>
          <w:placeholder>
            <w:docPart w:val="4D1F9C5BBCBC4D849BDB8978A3972904"/>
          </w:placeholder>
          <w15:color w:val="000000"/>
          <w:text/>
        </w:sdtPr>
        <w:sdtContent>
          <w:r>
            <w:t>Eminent Scholars Program</w:t>
          </w:r>
        </w:sdtContent>
      </w:sdt>
    </w:p>
    <w:p w14:paraId="25D152F5" w14:textId="77777777" w:rsidR="00ED7A0D" w:rsidRDefault="00ED7A0D" w:rsidP="00ED7A0D">
      <w:pPr>
        <w:widowControl w:val="0"/>
        <w:tabs>
          <w:tab w:val="left" w:pos="0"/>
        </w:tabs>
        <w:autoSpaceDE w:val="0"/>
        <w:autoSpaceDN w:val="0"/>
        <w:rPr>
          <w:b/>
          <w:szCs w:val="24"/>
          <w:lang w:bidi="en-US"/>
        </w:rPr>
      </w:pPr>
    </w:p>
    <w:p w14:paraId="6A6845DC" w14:textId="77777777" w:rsidR="00ED7A0D" w:rsidRDefault="00ED7A0D" w:rsidP="00ED7A0D">
      <w:pPr>
        <w:widowControl w:val="0"/>
        <w:autoSpaceDE w:val="0"/>
        <w:autoSpaceDN w:val="0"/>
        <w:rPr>
          <w:szCs w:val="24"/>
          <w:lang w:bidi="en-US"/>
        </w:rPr>
      </w:pPr>
      <w:r w:rsidRPr="00D03C26">
        <w:rPr>
          <w:b/>
          <w:szCs w:val="24"/>
          <w:lang w:bidi="en-US"/>
        </w:rPr>
        <w:t>Responsible Division</w:t>
      </w:r>
      <w:r>
        <w:rPr>
          <w:b/>
          <w:szCs w:val="24"/>
          <w:lang w:bidi="en-US"/>
        </w:rPr>
        <w:t>/Department</w:t>
      </w:r>
      <w:r w:rsidRPr="00D03C26">
        <w:rPr>
          <w:szCs w:val="24"/>
          <w:lang w:bidi="en-US"/>
        </w:rPr>
        <w:t xml:space="preserve">: </w:t>
      </w:r>
      <w:sdt>
        <w:sdtPr>
          <w:rPr>
            <w:szCs w:val="24"/>
            <w:lang w:bidi="en-US"/>
          </w:rPr>
          <w:alias w:val="Responsible Division/Department"/>
          <w:tag w:val="Enter Responsible division or department "/>
          <w:id w:val="353540150"/>
          <w:placeholder>
            <w:docPart w:val="4D1F9C5BBCBC4D849BDB8978A3972904"/>
          </w:placeholder>
          <w15:color w:val="000000"/>
          <w:text/>
        </w:sdtPr>
        <w:sdtContent>
          <w:r>
            <w:rPr>
              <w:szCs w:val="24"/>
              <w:lang w:bidi="en-US"/>
            </w:rPr>
            <w:t>UDAE and Academic Affairs</w:t>
          </w:r>
        </w:sdtContent>
      </w:sdt>
    </w:p>
    <w:p w14:paraId="3D4D065A" w14:textId="77777777" w:rsidR="00ED7A0D" w:rsidRPr="00D03C26" w:rsidRDefault="00ED7A0D" w:rsidP="00ED7A0D">
      <w:pPr>
        <w:widowControl w:val="0"/>
        <w:autoSpaceDE w:val="0"/>
        <w:autoSpaceDN w:val="0"/>
        <w:rPr>
          <w:szCs w:val="24"/>
          <w:lang w:bidi="en-US"/>
        </w:rPr>
      </w:pPr>
    </w:p>
    <w:p w14:paraId="4EF98715" w14:textId="77777777" w:rsidR="00ED7A0D" w:rsidRPr="00D03C26" w:rsidRDefault="00ED7A0D" w:rsidP="00ED7A0D">
      <w:pPr>
        <w:widowControl w:val="0"/>
        <w:autoSpaceDE w:val="0"/>
        <w:autoSpaceDN w:val="0"/>
        <w:rPr>
          <w:b/>
          <w:szCs w:val="24"/>
        </w:rPr>
      </w:pPr>
      <w:r>
        <w:rPr>
          <w:b/>
          <w:szCs w:val="24"/>
        </w:rPr>
        <w:t>Check</w:t>
      </w:r>
      <w:r w:rsidRPr="00D03C26">
        <w:rPr>
          <w:b/>
          <w:szCs w:val="24"/>
        </w:rPr>
        <w:t xml:space="preserve"> what type of </w:t>
      </w:r>
      <w:r>
        <w:rPr>
          <w:b/>
          <w:szCs w:val="24"/>
        </w:rPr>
        <w:t>Regulation</w:t>
      </w:r>
      <w:r w:rsidRPr="00D03C26">
        <w:rPr>
          <w:b/>
          <w:szCs w:val="24"/>
        </w:rPr>
        <w:t xml:space="preserve"> this is: </w:t>
      </w:r>
    </w:p>
    <w:p w14:paraId="55C0090B" w14:textId="77777777" w:rsidR="00ED7A0D" w:rsidRDefault="00ED7A0D" w:rsidP="00ED7A0D">
      <w:pPr>
        <w:widowControl w:val="0"/>
        <w:autoSpaceDE w:val="0"/>
        <w:autoSpaceDN w:val="0"/>
        <w:rPr>
          <w:szCs w:val="24"/>
        </w:rPr>
      </w:pPr>
      <w:sdt>
        <w:sdtPr>
          <w:rPr>
            <w:szCs w:val="24"/>
          </w:rPr>
          <w:alias w:val="New Policy "/>
          <w:tag w:val="New Policy Checkbox"/>
          <w:id w:val="415290310"/>
          <w15:color w:val="000000"/>
          <w14:checkbox>
            <w14:checked w14:val="1"/>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 xml:space="preserve">New </w:t>
      </w:r>
      <w:r>
        <w:rPr>
          <w:szCs w:val="24"/>
        </w:rPr>
        <w:t xml:space="preserve">Regulation </w:t>
      </w:r>
    </w:p>
    <w:p w14:paraId="4327D1B9" w14:textId="77777777" w:rsidR="00ED7A0D" w:rsidRPr="00D03C26" w:rsidRDefault="00ED7A0D" w:rsidP="00ED7A0D">
      <w:pPr>
        <w:widowControl w:val="0"/>
        <w:autoSpaceDE w:val="0"/>
        <w:autoSpaceDN w:val="0"/>
        <w:rPr>
          <w:szCs w:val="24"/>
        </w:rPr>
      </w:pPr>
      <w:sdt>
        <w:sdtPr>
          <w:rPr>
            <w:szCs w:val="24"/>
          </w:rPr>
          <w:alias w:val="Major Revision of Existing Policy"/>
          <w:tag w:val="Major Revision of Existing Policy checkbox"/>
          <w:id w:val="-858739724"/>
          <w15:color w:val="00000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 xml:space="preserve">Major Revision of Existing </w:t>
      </w:r>
      <w:r>
        <w:rPr>
          <w:szCs w:val="24"/>
        </w:rPr>
        <w:t xml:space="preserve">Regulation </w:t>
      </w:r>
    </w:p>
    <w:p w14:paraId="69A5812B" w14:textId="77777777" w:rsidR="00ED7A0D" w:rsidRDefault="00ED7A0D" w:rsidP="00ED7A0D">
      <w:pPr>
        <w:widowControl w:val="0"/>
        <w:autoSpaceDE w:val="0"/>
        <w:autoSpaceDN w:val="0"/>
        <w:rPr>
          <w:szCs w:val="24"/>
        </w:rPr>
      </w:pPr>
      <w:sdt>
        <w:sdtPr>
          <w:rPr>
            <w:szCs w:val="24"/>
          </w:rPr>
          <w:alias w:val="Minor/ Technical Revision of Existing Policy"/>
          <w:tag w:val="Minor/ Technical Revision of Existing Policy Check box"/>
          <w:id w:val="1189488720"/>
          <w15:color w:val="00000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 xml:space="preserve">Minor/Technical Revision of Existing </w:t>
      </w:r>
      <w:r>
        <w:rPr>
          <w:szCs w:val="24"/>
        </w:rPr>
        <w:t xml:space="preserve">Regulation </w:t>
      </w:r>
    </w:p>
    <w:p w14:paraId="0D593C18" w14:textId="77777777" w:rsidR="00ED7A0D" w:rsidRPr="00D03C26" w:rsidRDefault="00ED7A0D" w:rsidP="00ED7A0D">
      <w:pPr>
        <w:widowControl w:val="0"/>
        <w:autoSpaceDE w:val="0"/>
        <w:autoSpaceDN w:val="0"/>
        <w:rPr>
          <w:szCs w:val="24"/>
        </w:rPr>
      </w:pPr>
      <w:sdt>
        <w:sdtPr>
          <w:rPr>
            <w:szCs w:val="24"/>
          </w:rPr>
          <w:alias w:val="Reaffirmation of Existing Policy"/>
          <w:tag w:val="Reaffirmation of Existing Policy checkbox"/>
          <w:id w:val="425855086"/>
          <w15:color w:val="00000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 xml:space="preserve">Reaffirmation of Existing </w:t>
      </w:r>
      <w:r>
        <w:rPr>
          <w:szCs w:val="24"/>
        </w:rPr>
        <w:t xml:space="preserve">Regulation </w:t>
      </w:r>
    </w:p>
    <w:p w14:paraId="336326A8" w14:textId="77777777" w:rsidR="00ED7A0D" w:rsidRPr="00D03C26" w:rsidRDefault="00ED7A0D" w:rsidP="00ED7A0D">
      <w:pPr>
        <w:widowControl w:val="0"/>
        <w:autoSpaceDE w:val="0"/>
        <w:autoSpaceDN w:val="0"/>
        <w:rPr>
          <w:szCs w:val="24"/>
        </w:rPr>
      </w:pPr>
      <w:sdt>
        <w:sdtPr>
          <w:rPr>
            <w:szCs w:val="24"/>
          </w:rPr>
          <w:alias w:val="Repeal of Existing Policy"/>
          <w:tag w:val="Repeal of Existing Policy checkbox"/>
          <w:id w:val="210464939"/>
          <w15:color w:val="00000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Re</w:t>
      </w:r>
      <w:r>
        <w:rPr>
          <w:szCs w:val="24"/>
        </w:rPr>
        <w:t>peal</w:t>
      </w:r>
      <w:r w:rsidRPr="00D03C26">
        <w:rPr>
          <w:szCs w:val="24"/>
        </w:rPr>
        <w:t xml:space="preserve"> of Existing </w:t>
      </w:r>
      <w:r>
        <w:rPr>
          <w:szCs w:val="24"/>
        </w:rPr>
        <w:t xml:space="preserve">Regulation </w:t>
      </w:r>
    </w:p>
    <w:p w14:paraId="7DCECEDF" w14:textId="77777777" w:rsidR="00ED7A0D" w:rsidRDefault="00ED7A0D" w:rsidP="00ED7A0D">
      <w:pPr>
        <w:widowControl w:val="0"/>
        <w:autoSpaceDE w:val="0"/>
        <w:autoSpaceDN w:val="0"/>
        <w:spacing w:before="10"/>
        <w:rPr>
          <w:sz w:val="15"/>
          <w:szCs w:val="24"/>
          <w:lang w:bidi="en-US"/>
        </w:rPr>
      </w:pPr>
    </w:p>
    <w:p w14:paraId="01E34B09" w14:textId="77777777" w:rsidR="00ED7A0D" w:rsidRPr="00D03C26" w:rsidRDefault="00ED7A0D" w:rsidP="00ED7A0D">
      <w:pPr>
        <w:widowControl w:val="0"/>
        <w:autoSpaceDE w:val="0"/>
        <w:autoSpaceDN w:val="0"/>
        <w:spacing w:before="10"/>
        <w:rPr>
          <w:sz w:val="15"/>
          <w:szCs w:val="24"/>
          <w:lang w:bidi="en-US"/>
        </w:rPr>
      </w:pPr>
    </w:p>
    <w:p w14:paraId="07C23BDD" w14:textId="77777777" w:rsidR="00ED7A0D" w:rsidRPr="00142C62" w:rsidRDefault="00ED7A0D" w:rsidP="00ED7A0D">
      <w:pPr>
        <w:numPr>
          <w:ilvl w:val="0"/>
          <w:numId w:val="37"/>
        </w:numPr>
        <w:spacing w:after="330" w:line="259" w:lineRule="auto"/>
        <w:ind w:left="1440"/>
        <w:contextualSpacing/>
        <w:jc w:val="both"/>
        <w:outlineLvl w:val="1"/>
        <w:rPr>
          <w:b/>
          <w:sz w:val="28"/>
        </w:rPr>
      </w:pPr>
      <w:r w:rsidRPr="00142C62">
        <w:rPr>
          <w:b/>
          <w:sz w:val="28"/>
        </w:rPr>
        <w:t xml:space="preserve">OBJECTIVE AND PURPOSE OF </w:t>
      </w:r>
      <w:r>
        <w:rPr>
          <w:b/>
          <w:sz w:val="28"/>
        </w:rPr>
        <w:t>REGULATION</w:t>
      </w:r>
    </w:p>
    <w:p w14:paraId="417F4B7A" w14:textId="77777777" w:rsidR="00ED7A0D" w:rsidRDefault="00ED7A0D" w:rsidP="00ED7A0D">
      <w:pPr>
        <w:ind w:left="1440"/>
        <w:rPr>
          <w:rFonts w:ascii="Arial" w:hAnsi="Arial" w:cs="Arial"/>
          <w:b/>
          <w:bCs/>
          <w:sz w:val="20"/>
        </w:rPr>
      </w:pPr>
    </w:p>
    <w:p w14:paraId="4B7F6F03" w14:textId="77777777" w:rsidR="00ED7A0D" w:rsidRPr="003A7425" w:rsidRDefault="00ED7A0D" w:rsidP="00ED7A0D">
      <w:pPr>
        <w:ind w:left="720" w:right="478"/>
        <w:rPr>
          <w:szCs w:val="24"/>
        </w:rPr>
      </w:pPr>
      <w:r w:rsidRPr="003A7425">
        <w:rPr>
          <w:szCs w:val="24"/>
        </w:rPr>
        <w:t xml:space="preserve">This regulation governs the administration and oversight of the UNF Eminent Scholars Program (the Program), the purpose of which is to attract private financial support, supplemented by State matching funds, to enhance scholarly work through the recruitment and appointment of eminent scholars.  </w:t>
      </w:r>
    </w:p>
    <w:p w14:paraId="72D29FA0" w14:textId="77777777" w:rsidR="00ED7A0D" w:rsidRPr="00142C62" w:rsidRDefault="00ED7A0D" w:rsidP="00ED7A0D">
      <w:pPr>
        <w:ind w:left="1440" w:right="478"/>
        <w:rPr>
          <w:rFonts w:ascii="Arial" w:hAnsi="Arial" w:cs="Arial"/>
          <w:b/>
          <w:bCs/>
          <w:sz w:val="20"/>
        </w:rPr>
      </w:pPr>
    </w:p>
    <w:p w14:paraId="1542BFA7" w14:textId="77777777" w:rsidR="00ED7A0D" w:rsidRPr="00142C62" w:rsidRDefault="00ED7A0D" w:rsidP="00ED7A0D">
      <w:pPr>
        <w:numPr>
          <w:ilvl w:val="0"/>
          <w:numId w:val="37"/>
        </w:numPr>
        <w:spacing w:after="330" w:line="259" w:lineRule="auto"/>
        <w:ind w:left="1440"/>
        <w:contextualSpacing/>
        <w:outlineLvl w:val="1"/>
        <w:rPr>
          <w:b/>
          <w:sz w:val="28"/>
        </w:rPr>
      </w:pPr>
      <w:r w:rsidRPr="00142C62">
        <w:rPr>
          <w:b/>
          <w:sz w:val="28"/>
        </w:rPr>
        <w:t xml:space="preserve">STATEMENT OF </w:t>
      </w:r>
      <w:r>
        <w:rPr>
          <w:b/>
          <w:sz w:val="28"/>
        </w:rPr>
        <w:t>REGULATION</w:t>
      </w:r>
    </w:p>
    <w:p w14:paraId="3CBF2D54" w14:textId="77777777" w:rsidR="00ED7A0D" w:rsidRDefault="00ED7A0D" w:rsidP="00ED7A0D">
      <w:pPr>
        <w:ind w:left="720"/>
        <w:rPr>
          <w:rFonts w:ascii="Arial" w:hAnsi="Arial" w:cs="Arial"/>
        </w:rPr>
      </w:pPr>
    </w:p>
    <w:p w14:paraId="0D3ACA2F" w14:textId="77777777" w:rsidR="00ED7A0D" w:rsidRPr="003A7425" w:rsidRDefault="00ED7A0D" w:rsidP="00ED7A0D">
      <w:pPr>
        <w:pStyle w:val="ListParagraph"/>
        <w:numPr>
          <w:ilvl w:val="0"/>
          <w:numId w:val="38"/>
        </w:numPr>
        <w:spacing w:after="0" w:line="240" w:lineRule="auto"/>
      </w:pPr>
      <w:r w:rsidRPr="003A7425">
        <w:t>Administration</w:t>
      </w:r>
    </w:p>
    <w:p w14:paraId="236B184F" w14:textId="77777777" w:rsidR="00ED7A0D" w:rsidRPr="003A7425" w:rsidRDefault="00ED7A0D" w:rsidP="00ED7A0D">
      <w:pPr>
        <w:ind w:left="720" w:right="478"/>
        <w:jc w:val="both"/>
      </w:pPr>
      <w:r w:rsidRPr="003A7425">
        <w:t xml:space="preserve">The University of North Florida Foundation has the responsibility for furthering, </w:t>
      </w:r>
      <w:proofErr w:type="gramStart"/>
      <w:r w:rsidRPr="003A7425">
        <w:t>administering</w:t>
      </w:r>
      <w:proofErr w:type="gramEnd"/>
      <w:r w:rsidRPr="003A7425">
        <w:t xml:space="preserve"> and maintaining the Program. The Foundation shall conduct fundraising activities as authorized by </w:t>
      </w:r>
      <w:r>
        <w:t xml:space="preserve">BOG Regulation 9.019 </w:t>
      </w:r>
      <w:r>
        <w:rPr>
          <w:i/>
          <w:iCs/>
        </w:rPr>
        <w:t xml:space="preserve">University Major Gifts Challenge Grant </w:t>
      </w:r>
      <w:proofErr w:type="gramStart"/>
      <w:r>
        <w:rPr>
          <w:i/>
          <w:iCs/>
        </w:rPr>
        <w:t>Program</w:t>
      </w:r>
      <w:r w:rsidRPr="003A7425">
        <w:t>, and</w:t>
      </w:r>
      <w:proofErr w:type="gramEnd"/>
      <w:r w:rsidRPr="003A7425">
        <w:t xml:space="preserve"> invest and manage Eminent Scholar funds under procedures recommended by the Foundation Investment Committee and approved by Foundation Board of Directors.</w:t>
      </w:r>
    </w:p>
    <w:p w14:paraId="5E90611E" w14:textId="77777777" w:rsidR="00ED7A0D" w:rsidRPr="003A7425" w:rsidRDefault="00ED7A0D" w:rsidP="00ED7A0D">
      <w:pPr>
        <w:ind w:left="720" w:right="478"/>
        <w:jc w:val="both"/>
      </w:pPr>
    </w:p>
    <w:p w14:paraId="63EAB49B" w14:textId="77777777" w:rsidR="00ED7A0D" w:rsidRPr="003A7425" w:rsidRDefault="00ED7A0D" w:rsidP="00ED7A0D">
      <w:pPr>
        <w:ind w:left="720" w:right="478"/>
        <w:jc w:val="both"/>
      </w:pPr>
      <w:r w:rsidRPr="003A7425">
        <w:t xml:space="preserve">The President (or designee) shall have the right to approve or disapprove the terms of any agreement to establish an Endowed Eminent Scholar. </w:t>
      </w:r>
    </w:p>
    <w:p w14:paraId="3E1F900D" w14:textId="77777777" w:rsidR="00ED7A0D" w:rsidRPr="003A7425" w:rsidRDefault="00ED7A0D" w:rsidP="00ED7A0D">
      <w:pPr>
        <w:ind w:left="720" w:right="478"/>
        <w:jc w:val="both"/>
      </w:pPr>
    </w:p>
    <w:p w14:paraId="5BE61238" w14:textId="77777777" w:rsidR="00ED7A0D" w:rsidRPr="003A7425" w:rsidRDefault="00ED7A0D" w:rsidP="00ED7A0D">
      <w:pPr>
        <w:ind w:left="720" w:right="478"/>
        <w:jc w:val="both"/>
      </w:pPr>
      <w:r w:rsidRPr="003A7425">
        <w:t xml:space="preserve">Proceeds from the endowment may be used as salaries or supplement for salaries for the holder and for those individuals directly associated with the holder’s scholarly work and for expenses directly related to that scholarly work.  </w:t>
      </w:r>
    </w:p>
    <w:p w14:paraId="2455E3D5" w14:textId="77777777" w:rsidR="00ED7A0D" w:rsidRDefault="00ED7A0D" w:rsidP="00ED7A0D">
      <w:pPr>
        <w:ind w:left="720"/>
      </w:pPr>
    </w:p>
    <w:p w14:paraId="0E123507" w14:textId="77777777" w:rsidR="00ED7A0D" w:rsidRPr="003A7425" w:rsidRDefault="00ED7A0D" w:rsidP="00ED7A0D">
      <w:pPr>
        <w:ind w:left="720"/>
      </w:pPr>
    </w:p>
    <w:p w14:paraId="6B890E6E" w14:textId="77777777" w:rsidR="00ED7A0D" w:rsidRDefault="00ED7A0D" w:rsidP="00ED7A0D">
      <w:pPr>
        <w:pStyle w:val="ListParagraph"/>
        <w:numPr>
          <w:ilvl w:val="0"/>
          <w:numId w:val="38"/>
        </w:numPr>
        <w:spacing w:after="0" w:line="240" w:lineRule="auto"/>
        <w:jc w:val="both"/>
      </w:pPr>
      <w:r w:rsidRPr="003A7425">
        <w:t>Establishment of Eminent Scholar</w:t>
      </w:r>
    </w:p>
    <w:p w14:paraId="03FB7758" w14:textId="77777777" w:rsidR="00ED7A0D" w:rsidRPr="003A7425" w:rsidRDefault="00ED7A0D" w:rsidP="00ED7A0D">
      <w:pPr>
        <w:ind w:left="720" w:right="478"/>
        <w:jc w:val="both"/>
      </w:pPr>
      <w:r w:rsidRPr="003A7425">
        <w:t xml:space="preserve">An Eminent Scholar shall be established when contributions from private sources and matching funds from </w:t>
      </w:r>
      <w:r w:rsidRPr="001C6201">
        <w:t>Major Gift</w:t>
      </w:r>
      <w:r>
        <w:t xml:space="preserve"> endowments</w:t>
      </w:r>
      <w:r w:rsidRPr="003A7425">
        <w:t xml:space="preserve"> are in hand. Donor intent shall determine the allocation of gifts received in support of the Program as indicated in a gift agreement, letter, or other document transmitting the gift (agreement).  </w:t>
      </w:r>
    </w:p>
    <w:p w14:paraId="611E154D" w14:textId="77777777" w:rsidR="00ED7A0D" w:rsidRPr="003A7425" w:rsidRDefault="00ED7A0D" w:rsidP="00ED7A0D">
      <w:pPr>
        <w:ind w:left="720" w:right="478"/>
        <w:jc w:val="both"/>
      </w:pPr>
    </w:p>
    <w:p w14:paraId="5A241CDD" w14:textId="77777777" w:rsidR="00ED7A0D" w:rsidRPr="003A7425" w:rsidRDefault="00ED7A0D" w:rsidP="00ED7A0D">
      <w:pPr>
        <w:ind w:left="720" w:right="478"/>
        <w:jc w:val="both"/>
      </w:pPr>
      <w:r w:rsidRPr="003A7425">
        <w:t>All funds will remain in the designated School, College or Department regardless of whether full funding of a scholar is attained.  When full funding is not attained, the final determination of the use of the funds which have been raised will be made by the Dean in consultation with the donor and the Foundation.</w:t>
      </w:r>
    </w:p>
    <w:p w14:paraId="367427B9" w14:textId="77777777" w:rsidR="00ED7A0D" w:rsidRPr="003A7425" w:rsidRDefault="00ED7A0D" w:rsidP="00ED7A0D">
      <w:pPr>
        <w:ind w:left="720" w:right="478"/>
        <w:jc w:val="both"/>
      </w:pPr>
    </w:p>
    <w:p w14:paraId="2124AB17" w14:textId="77777777" w:rsidR="00ED7A0D" w:rsidRPr="003A7425" w:rsidRDefault="00ED7A0D" w:rsidP="00ED7A0D">
      <w:pPr>
        <w:pStyle w:val="ListParagraph"/>
        <w:numPr>
          <w:ilvl w:val="0"/>
          <w:numId w:val="38"/>
        </w:numPr>
        <w:spacing w:after="0" w:line="240" w:lineRule="auto"/>
        <w:ind w:right="478"/>
        <w:jc w:val="both"/>
      </w:pPr>
      <w:r w:rsidRPr="003A7425">
        <w:t>Selection of Scholars</w:t>
      </w:r>
    </w:p>
    <w:p w14:paraId="16C464C1" w14:textId="77777777" w:rsidR="00ED7A0D" w:rsidRPr="003A7425" w:rsidRDefault="00ED7A0D" w:rsidP="00ED7A0D">
      <w:pPr>
        <w:ind w:left="720" w:right="478"/>
        <w:jc w:val="both"/>
      </w:pPr>
      <w:r w:rsidRPr="003A7425">
        <w:t xml:space="preserve">The </w:t>
      </w:r>
      <w:proofErr w:type="gramStart"/>
      <w:r w:rsidRPr="003A7425">
        <w:t>Provost</w:t>
      </w:r>
      <w:proofErr w:type="gramEnd"/>
      <w:r w:rsidRPr="003A7425">
        <w:t xml:space="preserve">, in consultation with the Dean, shall establish a Committee to implement the process for selecting the holder of the scholar position consistent with applicable search and screen procedures. The </w:t>
      </w:r>
      <w:proofErr w:type="gramStart"/>
      <w:r w:rsidRPr="003A7425">
        <w:t>Provost</w:t>
      </w:r>
      <w:proofErr w:type="gramEnd"/>
      <w:r w:rsidRPr="003A7425">
        <w:t xml:space="preserve"> shall select the candidate to be offered the position and shall make the written offer to the candidate.  </w:t>
      </w:r>
    </w:p>
    <w:p w14:paraId="0759F9F6" w14:textId="77777777" w:rsidR="00ED7A0D" w:rsidRPr="003A7425" w:rsidRDefault="00ED7A0D" w:rsidP="00ED7A0D">
      <w:pPr>
        <w:ind w:left="720" w:right="478"/>
        <w:jc w:val="both"/>
      </w:pPr>
    </w:p>
    <w:p w14:paraId="21D70E89" w14:textId="77777777" w:rsidR="00ED7A0D" w:rsidRPr="003A7425" w:rsidRDefault="00ED7A0D" w:rsidP="00ED7A0D">
      <w:pPr>
        <w:pStyle w:val="ListParagraph"/>
        <w:numPr>
          <w:ilvl w:val="0"/>
          <w:numId w:val="38"/>
        </w:numPr>
        <w:spacing w:after="0" w:line="240" w:lineRule="auto"/>
        <w:ind w:right="478"/>
        <w:jc w:val="both"/>
      </w:pPr>
      <w:r w:rsidRPr="003A7425">
        <w:t>Evaluation of Scholar</w:t>
      </w:r>
      <w:r>
        <w:t>s</w:t>
      </w:r>
    </w:p>
    <w:p w14:paraId="52557223" w14:textId="77777777" w:rsidR="00ED7A0D" w:rsidRPr="003A7425" w:rsidRDefault="00ED7A0D" w:rsidP="00ED7A0D">
      <w:pPr>
        <w:ind w:left="720" w:right="478"/>
        <w:jc w:val="both"/>
      </w:pPr>
      <w:r w:rsidRPr="003A7425">
        <w:t xml:space="preserve">The Eminent Scholar shall be evaluated consistent with the provisions of applicable personnel regulations or the faculty collective bargaining agreement and the gift agreement.  </w:t>
      </w:r>
    </w:p>
    <w:p w14:paraId="330896C9" w14:textId="77777777" w:rsidR="00ED7A0D" w:rsidRPr="003A7425" w:rsidRDefault="00ED7A0D" w:rsidP="00ED7A0D">
      <w:pPr>
        <w:ind w:right="478"/>
        <w:jc w:val="both"/>
      </w:pPr>
    </w:p>
    <w:p w14:paraId="6B8D7056" w14:textId="77777777" w:rsidR="00ED7A0D" w:rsidRPr="003A7425" w:rsidRDefault="00ED7A0D" w:rsidP="00ED7A0D">
      <w:pPr>
        <w:pStyle w:val="ListParagraph"/>
        <w:numPr>
          <w:ilvl w:val="0"/>
          <w:numId w:val="38"/>
        </w:numPr>
        <w:spacing w:after="0" w:line="240" w:lineRule="auto"/>
        <w:ind w:right="478"/>
        <w:jc w:val="both"/>
      </w:pPr>
      <w:r w:rsidRPr="003A7425">
        <w:t>Annual Reports</w:t>
      </w:r>
    </w:p>
    <w:p w14:paraId="2C1B92D9" w14:textId="77777777" w:rsidR="00ED7A0D" w:rsidRPr="003A7425" w:rsidRDefault="00ED7A0D" w:rsidP="00ED7A0D">
      <w:pPr>
        <w:ind w:left="720" w:right="478"/>
        <w:jc w:val="both"/>
      </w:pPr>
      <w:r w:rsidRPr="003A7425">
        <w:t xml:space="preserve">The Foundation shall prepare an annual report, including information concerning collection, investment, and audit of applicable funds.  This report may coincide with, but shall be in addition to, the Foundation’s comprehensive annual report.  </w:t>
      </w:r>
    </w:p>
    <w:p w14:paraId="38DD4F32" w14:textId="77777777" w:rsidR="00ED7A0D" w:rsidRPr="003A7425" w:rsidRDefault="00ED7A0D" w:rsidP="00ED7A0D">
      <w:pPr>
        <w:ind w:left="720" w:right="478"/>
        <w:jc w:val="both"/>
      </w:pPr>
    </w:p>
    <w:p w14:paraId="1D340C21" w14:textId="77777777" w:rsidR="00ED7A0D" w:rsidRPr="003A7425" w:rsidRDefault="00ED7A0D" w:rsidP="00ED7A0D">
      <w:pPr>
        <w:ind w:left="720" w:right="478"/>
        <w:jc w:val="both"/>
      </w:pPr>
      <w:r w:rsidRPr="003A7425">
        <w:t xml:space="preserve">The Foundation shall also prepare an annual report for each donor including, but not limited to, investment and audit information, a narrative submitted by the appropriate dean relating the activities and accomplishments, the </w:t>
      </w:r>
      <w:proofErr w:type="gramStart"/>
      <w:r w:rsidRPr="003A7425">
        <w:t>current status</w:t>
      </w:r>
      <w:proofErr w:type="gramEnd"/>
      <w:r w:rsidRPr="003A7425">
        <w:t xml:space="preserve"> of the scholar, and any other report or information required by the donor as reflected in the agreement.</w:t>
      </w:r>
    </w:p>
    <w:p w14:paraId="70C21518" w14:textId="77777777" w:rsidR="00ED7A0D" w:rsidRPr="003A7425" w:rsidRDefault="00ED7A0D" w:rsidP="00ED7A0D">
      <w:pPr>
        <w:ind w:left="720"/>
      </w:pPr>
      <w:r w:rsidRPr="003A7425">
        <w:t xml:space="preserve">  </w:t>
      </w:r>
    </w:p>
    <w:p w14:paraId="60B02204" w14:textId="77777777" w:rsidR="00ED7A0D" w:rsidRPr="003A7425" w:rsidRDefault="00ED7A0D" w:rsidP="00ED7A0D"/>
    <w:p w14:paraId="6015EDA9" w14:textId="77777777" w:rsidR="00ED7A0D" w:rsidRPr="003A7425" w:rsidRDefault="00ED7A0D" w:rsidP="00ED7A0D">
      <w:pPr>
        <w:ind w:right="478"/>
      </w:pPr>
      <w:r w:rsidRPr="003A7425">
        <w:t xml:space="preserve">Authority:  BOG Regulation 9.019 </w:t>
      </w:r>
    </w:p>
    <w:p w14:paraId="444B500D" w14:textId="77777777" w:rsidR="00ED7A0D" w:rsidRPr="00AD39BB" w:rsidRDefault="00ED7A0D" w:rsidP="00ED7A0D">
      <w:pPr>
        <w:ind w:left="720"/>
        <w:rPr>
          <w:rFonts w:ascii="Arial" w:hAnsi="Arial" w:cs="Arial"/>
        </w:rPr>
      </w:pPr>
    </w:p>
    <w:p w14:paraId="058F6521" w14:textId="77777777" w:rsidR="00161BF9" w:rsidRPr="00143E80" w:rsidRDefault="00161BF9" w:rsidP="00ED7A0D">
      <w:pPr>
        <w:jc w:val="both"/>
        <w:outlineLvl w:val="0"/>
      </w:pPr>
    </w:p>
    <w:sectPr w:rsidR="00161BF9" w:rsidRPr="00143E80" w:rsidSect="00693E46">
      <w:footerReference w:type="even" r:id="rId12"/>
      <w:footerReference w:type="default" r:id="rId13"/>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7F1B" w14:textId="77777777" w:rsidR="009318E8" w:rsidRDefault="009318E8">
      <w:r>
        <w:separator/>
      </w:r>
    </w:p>
  </w:endnote>
  <w:endnote w:type="continuationSeparator" w:id="0">
    <w:p w14:paraId="6E1F5594" w14:textId="77777777" w:rsidR="009318E8" w:rsidRDefault="0093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BDD0" w14:textId="77777777" w:rsidR="00517ABF" w:rsidRDefault="00517ABF"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EEA2A2" w14:textId="77777777" w:rsidR="00517ABF" w:rsidRDefault="00517ABF"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95FC" w14:textId="77777777" w:rsidR="00517ABF" w:rsidRDefault="00517ABF" w:rsidP="00693E46">
    <w:pPr>
      <w:pStyle w:val="Footer"/>
      <w:framePr w:wrap="around" w:vAnchor="text" w:hAnchor="margin" w:xAlign="right" w:y="1"/>
      <w:rPr>
        <w:rStyle w:val="PageNumber"/>
      </w:rPr>
    </w:pPr>
  </w:p>
  <w:p w14:paraId="4731CBA6" w14:textId="77777777" w:rsidR="00517ABF" w:rsidRDefault="00517ABF" w:rsidP="00693E4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1723" w14:textId="77777777" w:rsidR="009318E8" w:rsidRDefault="009318E8">
      <w:r>
        <w:separator/>
      </w:r>
    </w:p>
  </w:footnote>
  <w:footnote w:type="continuationSeparator" w:id="0">
    <w:p w14:paraId="65E1522D" w14:textId="77777777" w:rsidR="009318E8" w:rsidRDefault="00931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AAA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D4FA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1263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6A4E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081B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2E52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D0F8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FAD3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D06E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5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82D"/>
    <w:multiLevelType w:val="hybridMultilevel"/>
    <w:tmpl w:val="64DA9CCE"/>
    <w:lvl w:ilvl="0" w:tplc="93CEDB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7030C"/>
    <w:multiLevelType w:val="hybridMultilevel"/>
    <w:tmpl w:val="0B80A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757694"/>
    <w:multiLevelType w:val="hybridMultilevel"/>
    <w:tmpl w:val="C95E9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814F4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46397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E35283"/>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15:restartNumberingAfterBreak="0">
    <w:nsid w:val="2A2F752A"/>
    <w:multiLevelType w:val="hybridMultilevel"/>
    <w:tmpl w:val="C05AED16"/>
    <w:lvl w:ilvl="0" w:tplc="E4F409B8">
      <w:start w:val="1"/>
      <w:numFmt w:val="upperLetter"/>
      <w:lvlText w:val="%1."/>
      <w:lvlJc w:val="left"/>
      <w:pPr>
        <w:tabs>
          <w:tab w:val="num" w:pos="720"/>
        </w:tabs>
        <w:ind w:left="720" w:hanging="360"/>
      </w:pPr>
      <w:rPr>
        <w:rFonts w:ascii="Times New (W1)" w:hAnsi="Times New (W1)" w:hint="default"/>
        <w:i w:val="0"/>
        <w:color w:val="auto"/>
      </w:rPr>
    </w:lvl>
    <w:lvl w:ilvl="1" w:tplc="0C16F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93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818211D"/>
    <w:multiLevelType w:val="hybridMultilevel"/>
    <w:tmpl w:val="00681634"/>
    <w:lvl w:ilvl="0" w:tplc="17AED740">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44DC2"/>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15:restartNumberingAfterBreak="0">
    <w:nsid w:val="4024549A"/>
    <w:multiLevelType w:val="multilevel"/>
    <w:tmpl w:val="53706B40"/>
    <w:lvl w:ilvl="0">
      <w:start w:val="1"/>
      <w:numFmt w:val="upperLetter"/>
      <w:lvlText w:val="%1."/>
      <w:lvlJc w:val="left"/>
      <w:pPr>
        <w:tabs>
          <w:tab w:val="num" w:pos="720"/>
        </w:tabs>
        <w:ind w:left="720" w:hanging="360"/>
      </w:pPr>
      <w:rPr>
        <w:rFonts w:ascii="Times New (W1)" w:hAnsi="Times New (W1)" w:hint="default"/>
        <w:i/>
        <w:color w:val="99330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2D2D0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15:restartNumberingAfterBreak="0">
    <w:nsid w:val="416C0205"/>
    <w:multiLevelType w:val="multilevel"/>
    <w:tmpl w:val="BDFC24C2"/>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9933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E7826BC"/>
    <w:multiLevelType w:val="multilevel"/>
    <w:tmpl w:val="50400278"/>
    <w:lvl w:ilvl="0">
      <w:start w:val="12"/>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22820E8"/>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6" w15:restartNumberingAfterBreak="0">
    <w:nsid w:val="5E3863F2"/>
    <w:multiLevelType w:val="multilevel"/>
    <w:tmpl w:val="F3D0FF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F982004"/>
    <w:multiLevelType w:val="multilevel"/>
    <w:tmpl w:val="AE5222C6"/>
    <w:lvl w:ilvl="0">
      <w:start w:val="1"/>
      <w:numFmt w:val="upperLetter"/>
      <w:lvlText w:val="%1."/>
      <w:lvlJc w:val="left"/>
      <w:pPr>
        <w:tabs>
          <w:tab w:val="num" w:pos="720"/>
        </w:tabs>
        <w:ind w:left="720" w:hanging="360"/>
      </w:pPr>
      <w:rPr>
        <w:rFonts w:ascii="Times New (W1)" w:hAnsi="Times New (W1)" w:hint="default"/>
        <w:i/>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3962F0"/>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15:restartNumberingAfterBreak="0">
    <w:nsid w:val="6AAC26FB"/>
    <w:multiLevelType w:val="hybridMultilevel"/>
    <w:tmpl w:val="6C1853AE"/>
    <w:lvl w:ilvl="0" w:tplc="407C4C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B746A4"/>
    <w:multiLevelType w:val="multilevel"/>
    <w:tmpl w:val="27FA2B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59647D"/>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3" w15:restartNumberingAfterBreak="0">
    <w:nsid w:val="755B02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B2F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1A1D6B"/>
    <w:multiLevelType w:val="multilevel"/>
    <w:tmpl w:val="49C6919E"/>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CEC2C44"/>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7" w15:restartNumberingAfterBreak="0">
    <w:nsid w:val="7D0928A5"/>
    <w:multiLevelType w:val="hybridMultilevel"/>
    <w:tmpl w:val="F7C261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14"/>
  </w:num>
  <w:num w:numId="3">
    <w:abstractNumId w:val="18"/>
  </w:num>
  <w:num w:numId="4">
    <w:abstractNumId w:val="33"/>
  </w:num>
  <w:num w:numId="5">
    <w:abstractNumId w:val="15"/>
  </w:num>
  <w:num w:numId="6">
    <w:abstractNumId w:val="11"/>
  </w:num>
  <w:num w:numId="7">
    <w:abstractNumId w:val="12"/>
  </w:num>
  <w:num w:numId="8">
    <w:abstractNumId w:val="17"/>
  </w:num>
  <w:num w:numId="9">
    <w:abstractNumId w:val="10"/>
  </w:num>
  <w:num w:numId="10">
    <w:abstractNumId w:val="37"/>
  </w:num>
  <w:num w:numId="11">
    <w:abstractNumId w:val="30"/>
  </w:num>
  <w:num w:numId="12">
    <w:abstractNumId w:val="34"/>
  </w:num>
  <w:num w:numId="13">
    <w:abstractNumId w:val="35"/>
  </w:num>
  <w:num w:numId="14">
    <w:abstractNumId w:val="26"/>
  </w:num>
  <w:num w:numId="15">
    <w:abstractNumId w:val="24"/>
  </w:num>
  <w:num w:numId="16">
    <w:abstractNumId w:val="20"/>
  </w:num>
  <w:num w:numId="17">
    <w:abstractNumId w:val="13"/>
  </w:num>
  <w:num w:numId="18">
    <w:abstractNumId w:val="36"/>
  </w:num>
  <w:num w:numId="19">
    <w:abstractNumId w:val="16"/>
  </w:num>
  <w:num w:numId="20">
    <w:abstractNumId w:val="28"/>
  </w:num>
  <w:num w:numId="21">
    <w:abstractNumId w:val="22"/>
  </w:num>
  <w:num w:numId="22">
    <w:abstractNumId w:val="25"/>
  </w:num>
  <w:num w:numId="23">
    <w:abstractNumId w:val="32"/>
  </w:num>
  <w:num w:numId="24">
    <w:abstractNumId w:val="21"/>
  </w:num>
  <w:num w:numId="25">
    <w:abstractNumId w:val="27"/>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40"/>
    <w:rsid w:val="000149E9"/>
    <w:rsid w:val="00020103"/>
    <w:rsid w:val="00033912"/>
    <w:rsid w:val="00070E03"/>
    <w:rsid w:val="000716F3"/>
    <w:rsid w:val="000752C7"/>
    <w:rsid w:val="00083E46"/>
    <w:rsid w:val="000A0C93"/>
    <w:rsid w:val="000C4A15"/>
    <w:rsid w:val="000C5BBD"/>
    <w:rsid w:val="000D37AE"/>
    <w:rsid w:val="000D65C6"/>
    <w:rsid w:val="000F354E"/>
    <w:rsid w:val="001048BE"/>
    <w:rsid w:val="00112DDD"/>
    <w:rsid w:val="00120B24"/>
    <w:rsid w:val="001273FB"/>
    <w:rsid w:val="001308F0"/>
    <w:rsid w:val="00130FEA"/>
    <w:rsid w:val="0014267E"/>
    <w:rsid w:val="00143E80"/>
    <w:rsid w:val="00161BF9"/>
    <w:rsid w:val="00166ABC"/>
    <w:rsid w:val="001974C5"/>
    <w:rsid w:val="001A3AEE"/>
    <w:rsid w:val="001A3EA7"/>
    <w:rsid w:val="001B334D"/>
    <w:rsid w:val="001C7F8B"/>
    <w:rsid w:val="001D5063"/>
    <w:rsid w:val="001D5976"/>
    <w:rsid w:val="001E0C21"/>
    <w:rsid w:val="001F3C99"/>
    <w:rsid w:val="00207A57"/>
    <w:rsid w:val="00215BF9"/>
    <w:rsid w:val="00222726"/>
    <w:rsid w:val="002450AA"/>
    <w:rsid w:val="00283BC3"/>
    <w:rsid w:val="00287ED4"/>
    <w:rsid w:val="002938FE"/>
    <w:rsid w:val="00293A0E"/>
    <w:rsid w:val="002B3BF9"/>
    <w:rsid w:val="002B5F13"/>
    <w:rsid w:val="002B7DF8"/>
    <w:rsid w:val="002D7D73"/>
    <w:rsid w:val="00302670"/>
    <w:rsid w:val="0030456E"/>
    <w:rsid w:val="00304587"/>
    <w:rsid w:val="003223C3"/>
    <w:rsid w:val="00365180"/>
    <w:rsid w:val="00373D19"/>
    <w:rsid w:val="003878C7"/>
    <w:rsid w:val="003B2CF5"/>
    <w:rsid w:val="003C77D0"/>
    <w:rsid w:val="003D2380"/>
    <w:rsid w:val="003E7666"/>
    <w:rsid w:val="003F164E"/>
    <w:rsid w:val="003F3DAA"/>
    <w:rsid w:val="003F4687"/>
    <w:rsid w:val="003F7F7A"/>
    <w:rsid w:val="004053D6"/>
    <w:rsid w:val="004324F8"/>
    <w:rsid w:val="00437A3C"/>
    <w:rsid w:val="00446A71"/>
    <w:rsid w:val="00450BD7"/>
    <w:rsid w:val="00451B46"/>
    <w:rsid w:val="00452FBC"/>
    <w:rsid w:val="00480700"/>
    <w:rsid w:val="004B270D"/>
    <w:rsid w:val="004B43B6"/>
    <w:rsid w:val="0050479D"/>
    <w:rsid w:val="00517ABF"/>
    <w:rsid w:val="00517B3C"/>
    <w:rsid w:val="005208B4"/>
    <w:rsid w:val="00522540"/>
    <w:rsid w:val="00523D27"/>
    <w:rsid w:val="0053257B"/>
    <w:rsid w:val="005509D9"/>
    <w:rsid w:val="005613BA"/>
    <w:rsid w:val="005706D4"/>
    <w:rsid w:val="00581403"/>
    <w:rsid w:val="00586266"/>
    <w:rsid w:val="00590DEF"/>
    <w:rsid w:val="005A0FE4"/>
    <w:rsid w:val="005A7182"/>
    <w:rsid w:val="005A728D"/>
    <w:rsid w:val="005B2123"/>
    <w:rsid w:val="005B54D3"/>
    <w:rsid w:val="00610766"/>
    <w:rsid w:val="0061484E"/>
    <w:rsid w:val="00615C2E"/>
    <w:rsid w:val="00630D3C"/>
    <w:rsid w:val="00634E93"/>
    <w:rsid w:val="00636380"/>
    <w:rsid w:val="00637A85"/>
    <w:rsid w:val="006407BE"/>
    <w:rsid w:val="00642340"/>
    <w:rsid w:val="00645673"/>
    <w:rsid w:val="00650DBA"/>
    <w:rsid w:val="0067544B"/>
    <w:rsid w:val="00693E46"/>
    <w:rsid w:val="006A301D"/>
    <w:rsid w:val="006B4AA1"/>
    <w:rsid w:val="006E2A21"/>
    <w:rsid w:val="006E5F5C"/>
    <w:rsid w:val="006F5B87"/>
    <w:rsid w:val="00746F7D"/>
    <w:rsid w:val="00750B86"/>
    <w:rsid w:val="00763973"/>
    <w:rsid w:val="00777819"/>
    <w:rsid w:val="00791D45"/>
    <w:rsid w:val="007941EA"/>
    <w:rsid w:val="007A346D"/>
    <w:rsid w:val="007A4EB1"/>
    <w:rsid w:val="007B27C6"/>
    <w:rsid w:val="007D48F7"/>
    <w:rsid w:val="00800FB8"/>
    <w:rsid w:val="00807342"/>
    <w:rsid w:val="0081706F"/>
    <w:rsid w:val="00817853"/>
    <w:rsid w:val="0083743E"/>
    <w:rsid w:val="00837C43"/>
    <w:rsid w:val="008401D3"/>
    <w:rsid w:val="00846036"/>
    <w:rsid w:val="00856D1D"/>
    <w:rsid w:val="00886308"/>
    <w:rsid w:val="0089014E"/>
    <w:rsid w:val="008A45BF"/>
    <w:rsid w:val="008B0BB2"/>
    <w:rsid w:val="008B27A7"/>
    <w:rsid w:val="008D4B88"/>
    <w:rsid w:val="008F15DA"/>
    <w:rsid w:val="009238A1"/>
    <w:rsid w:val="009318E8"/>
    <w:rsid w:val="0093584F"/>
    <w:rsid w:val="00936D51"/>
    <w:rsid w:val="00946C88"/>
    <w:rsid w:val="00967421"/>
    <w:rsid w:val="00972980"/>
    <w:rsid w:val="00973826"/>
    <w:rsid w:val="00977EAC"/>
    <w:rsid w:val="009B3973"/>
    <w:rsid w:val="009C081D"/>
    <w:rsid w:val="009C41DC"/>
    <w:rsid w:val="009E39D0"/>
    <w:rsid w:val="00A12F6A"/>
    <w:rsid w:val="00A3788A"/>
    <w:rsid w:val="00A51DF7"/>
    <w:rsid w:val="00A57DCA"/>
    <w:rsid w:val="00A7178F"/>
    <w:rsid w:val="00A81D11"/>
    <w:rsid w:val="00A854F6"/>
    <w:rsid w:val="00A870F8"/>
    <w:rsid w:val="00A910C9"/>
    <w:rsid w:val="00A92652"/>
    <w:rsid w:val="00A9426D"/>
    <w:rsid w:val="00AC64BC"/>
    <w:rsid w:val="00AD072A"/>
    <w:rsid w:val="00AD6E00"/>
    <w:rsid w:val="00AE2E40"/>
    <w:rsid w:val="00B32BD4"/>
    <w:rsid w:val="00B4336F"/>
    <w:rsid w:val="00B86330"/>
    <w:rsid w:val="00B87FD8"/>
    <w:rsid w:val="00B9112B"/>
    <w:rsid w:val="00B96BB2"/>
    <w:rsid w:val="00BA2C9F"/>
    <w:rsid w:val="00BB1D90"/>
    <w:rsid w:val="00BC03D1"/>
    <w:rsid w:val="00BC3816"/>
    <w:rsid w:val="00C21172"/>
    <w:rsid w:val="00C30802"/>
    <w:rsid w:val="00C4250B"/>
    <w:rsid w:val="00C47D93"/>
    <w:rsid w:val="00C70A50"/>
    <w:rsid w:val="00C85F73"/>
    <w:rsid w:val="00CC188D"/>
    <w:rsid w:val="00CD1698"/>
    <w:rsid w:val="00CD2FB3"/>
    <w:rsid w:val="00CF1A90"/>
    <w:rsid w:val="00CF7989"/>
    <w:rsid w:val="00D03168"/>
    <w:rsid w:val="00D072AE"/>
    <w:rsid w:val="00D167DE"/>
    <w:rsid w:val="00D2153B"/>
    <w:rsid w:val="00D24899"/>
    <w:rsid w:val="00D45D0B"/>
    <w:rsid w:val="00D50A65"/>
    <w:rsid w:val="00D66E0A"/>
    <w:rsid w:val="00D77CF0"/>
    <w:rsid w:val="00DC5ADD"/>
    <w:rsid w:val="00DD2F8E"/>
    <w:rsid w:val="00DD367E"/>
    <w:rsid w:val="00DF49D1"/>
    <w:rsid w:val="00DF7902"/>
    <w:rsid w:val="00E22723"/>
    <w:rsid w:val="00E23357"/>
    <w:rsid w:val="00E37DB2"/>
    <w:rsid w:val="00E4440A"/>
    <w:rsid w:val="00E56940"/>
    <w:rsid w:val="00E66F20"/>
    <w:rsid w:val="00E81892"/>
    <w:rsid w:val="00E96981"/>
    <w:rsid w:val="00EC3C9F"/>
    <w:rsid w:val="00ED7A0D"/>
    <w:rsid w:val="00ED7A97"/>
    <w:rsid w:val="00ED7D2F"/>
    <w:rsid w:val="00EE2516"/>
    <w:rsid w:val="00EE561B"/>
    <w:rsid w:val="00F02973"/>
    <w:rsid w:val="00F05666"/>
    <w:rsid w:val="00F10044"/>
    <w:rsid w:val="00F135CE"/>
    <w:rsid w:val="00F26C43"/>
    <w:rsid w:val="00F53A1C"/>
    <w:rsid w:val="00F7386C"/>
    <w:rsid w:val="00F85325"/>
    <w:rsid w:val="00F94297"/>
    <w:rsid w:val="00FB4F54"/>
    <w:rsid w:val="00FC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E9F7AD6"/>
  <w15:chartTrackingRefBased/>
  <w15:docId w15:val="{904CFE35-F358-4EAC-AA12-41742840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43E"/>
    <w:rPr>
      <w:sz w:val="24"/>
    </w:rPr>
  </w:style>
  <w:style w:type="paragraph" w:styleId="Heading1">
    <w:name w:val="heading 1"/>
    <w:basedOn w:val="Normal"/>
    <w:next w:val="Normal"/>
    <w:link w:val="Heading1Char"/>
    <w:qFormat/>
    <w:rsid w:val="008374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Cs w:val="24"/>
    </w:rPr>
  </w:style>
  <w:style w:type="paragraph" w:styleId="Heading2">
    <w:name w:val="heading 2"/>
    <w:basedOn w:val="Normal"/>
    <w:next w:val="Normal"/>
    <w:link w:val="Heading2Char"/>
    <w:uiPriority w:val="9"/>
    <w:unhideWhenUsed/>
    <w:qFormat/>
    <w:rsid w:val="008374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D19"/>
    <w:pPr>
      <w:tabs>
        <w:tab w:val="center" w:pos="4320"/>
        <w:tab w:val="right" w:pos="8640"/>
      </w:tabs>
    </w:pPr>
  </w:style>
  <w:style w:type="character" w:styleId="PageNumber">
    <w:name w:val="page number"/>
    <w:basedOn w:val="DefaultParagraphFont"/>
    <w:rsid w:val="00373D19"/>
  </w:style>
  <w:style w:type="paragraph" w:styleId="Header">
    <w:name w:val="header"/>
    <w:basedOn w:val="Normal"/>
    <w:rsid w:val="0053257B"/>
    <w:pPr>
      <w:tabs>
        <w:tab w:val="center" w:pos="4320"/>
        <w:tab w:val="right" w:pos="8640"/>
      </w:tabs>
    </w:pPr>
  </w:style>
  <w:style w:type="paragraph" w:styleId="FootnoteText">
    <w:name w:val="footnote text"/>
    <w:basedOn w:val="Normal"/>
    <w:semiHidden/>
    <w:rsid w:val="00936D51"/>
    <w:rPr>
      <w:sz w:val="20"/>
    </w:rPr>
  </w:style>
  <w:style w:type="character" w:styleId="FootnoteReference">
    <w:name w:val="footnote reference"/>
    <w:semiHidden/>
    <w:rsid w:val="00936D51"/>
    <w:rPr>
      <w:vertAlign w:val="superscript"/>
    </w:rPr>
  </w:style>
  <w:style w:type="table" w:styleId="TableGrid">
    <w:name w:val="Table Grid"/>
    <w:basedOn w:val="TableNormal"/>
    <w:rsid w:val="003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35CE"/>
    <w:rPr>
      <w:color w:val="0000FF"/>
      <w:u w:val="single"/>
    </w:rPr>
  </w:style>
  <w:style w:type="paragraph" w:styleId="DocumentMap">
    <w:name w:val="Document Map"/>
    <w:basedOn w:val="Normal"/>
    <w:semiHidden/>
    <w:rsid w:val="008401D3"/>
    <w:pPr>
      <w:shd w:val="clear" w:color="auto" w:fill="000080"/>
    </w:pPr>
    <w:rPr>
      <w:rFonts w:ascii="Tahoma" w:hAnsi="Tahoma" w:cs="Tahoma"/>
      <w:sz w:val="20"/>
    </w:rPr>
  </w:style>
  <w:style w:type="character" w:customStyle="1" w:styleId="Heading1Char">
    <w:name w:val="Heading 1 Char"/>
    <w:basedOn w:val="DefaultParagraphFont"/>
    <w:link w:val="Heading1"/>
    <w:rsid w:val="0083743E"/>
    <w:rPr>
      <w:rFonts w:ascii="Arial" w:hAnsi="Arial" w:cs="Arial"/>
      <w:b/>
      <w:bCs/>
      <w:sz w:val="24"/>
      <w:szCs w:val="24"/>
    </w:rPr>
  </w:style>
  <w:style w:type="character" w:customStyle="1" w:styleId="Heading2Char">
    <w:name w:val="Heading 2 Char"/>
    <w:basedOn w:val="DefaultParagraphFont"/>
    <w:link w:val="Heading2"/>
    <w:rsid w:val="0083743E"/>
    <w:rPr>
      <w:rFonts w:ascii="Arial" w:hAnsi="Arial" w:cs="Arial"/>
      <w:b/>
      <w:bCs/>
      <w:sz w:val="22"/>
      <w:szCs w:val="22"/>
    </w:rPr>
  </w:style>
  <w:style w:type="paragraph" w:styleId="ListParagraph">
    <w:name w:val="List Paragraph"/>
    <w:basedOn w:val="Normal"/>
    <w:uiPriority w:val="34"/>
    <w:qFormat/>
    <w:rsid w:val="00ED7A0D"/>
    <w:pPr>
      <w:spacing w:after="330" w:line="259" w:lineRule="auto"/>
      <w:ind w:left="720"/>
      <w:contextualSpacing/>
    </w:pPr>
    <w:rPr>
      <w:color w:val="000000"/>
      <w:szCs w:val="22"/>
    </w:rPr>
  </w:style>
  <w:style w:type="paragraph" w:styleId="Title">
    <w:name w:val="Title"/>
    <w:basedOn w:val="Heading1"/>
    <w:next w:val="Normal"/>
    <w:link w:val="TitleChar"/>
    <w:uiPriority w:val="10"/>
    <w:qFormat/>
    <w:rsid w:val="00ED7A0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59" w:lineRule="auto"/>
      <w:jc w:val="left"/>
    </w:pPr>
    <w:rPr>
      <w:rFonts w:ascii="Times New Roman" w:hAnsi="Times New Roman" w:cs="Times New Roman"/>
      <w:bCs w:val="0"/>
      <w:color w:val="000000"/>
      <w:sz w:val="56"/>
      <w:szCs w:val="22"/>
    </w:rPr>
  </w:style>
  <w:style w:type="character" w:customStyle="1" w:styleId="TitleChar">
    <w:name w:val="Title Char"/>
    <w:basedOn w:val="DefaultParagraphFont"/>
    <w:link w:val="Title"/>
    <w:uiPriority w:val="10"/>
    <w:rsid w:val="00ED7A0D"/>
    <w:rPr>
      <w:b/>
      <w:color w:val="000000"/>
      <w:sz w:val="5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F9C5BBCBC4D849BDB8978A3972904"/>
        <w:category>
          <w:name w:val="General"/>
          <w:gallery w:val="placeholder"/>
        </w:category>
        <w:types>
          <w:type w:val="bbPlcHdr"/>
        </w:types>
        <w:behaviors>
          <w:behavior w:val="content"/>
        </w:behaviors>
        <w:guid w:val="{9651DFFE-43D5-4A75-91DE-C6ABC5D4AA7D}"/>
      </w:docPartPr>
      <w:docPartBody>
        <w:p w:rsidR="00000000" w:rsidRDefault="000A1FA0" w:rsidP="000A1FA0">
          <w:pPr>
            <w:pStyle w:val="4D1F9C5BBCBC4D849BDB8978A3972904"/>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A0"/>
    <w:rsid w:val="000A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FA0"/>
    <w:rPr>
      <w:color w:val="808080"/>
    </w:rPr>
  </w:style>
  <w:style w:type="paragraph" w:customStyle="1" w:styleId="4D1F9C5BBCBC4D849BDB8978A3972904">
    <w:name w:val="4D1F9C5BBCBC4D849BDB8978A3972904"/>
    <w:rsid w:val="000A1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03B4C-F18E-479A-BD1D-7CCE7B4401EC}">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F9500FBE-410C-4F7A-BD77-449FDE8423AA}">
  <ds:schemaRefs>
    <ds:schemaRef ds:uri="http://schemas.microsoft.com/sharepoint/v3/contenttype/forms"/>
  </ds:schemaRefs>
</ds:datastoreItem>
</file>

<file path=customXml/itemProps3.xml><?xml version="1.0" encoding="utf-8"?>
<ds:datastoreItem xmlns:ds="http://schemas.openxmlformats.org/officeDocument/2006/customXml" ds:itemID="{FFEE9687-3D85-4E4B-9DFF-CADA7B2C1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University of North Florida</Company>
  <LinksUpToDate>false</LinksUpToDate>
  <CharactersWithSpaces>4592</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subject/>
  <dc:creator>rots0001</dc:creator>
  <cp:keywords/>
  <dc:description/>
  <cp:lastModifiedBy>Howell, Stephanie (GCL)</cp:lastModifiedBy>
  <cp:revision>2</cp:revision>
  <cp:lastPrinted>2005-12-08T20:32:00Z</cp:lastPrinted>
  <dcterms:created xsi:type="dcterms:W3CDTF">2022-03-15T15:25:00Z</dcterms:created>
  <dcterms:modified xsi:type="dcterms:W3CDTF">2022-03-15T15:25:00Z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