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2701" w:right="2703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NOTICE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REGULATION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pacing w:val="-2"/>
          <w:sz w:val="28"/>
        </w:rPr>
        <w:t>REPEAL</w:t>
      </w:r>
    </w:p>
    <w:p>
      <w:pPr>
        <w:spacing w:before="256"/>
        <w:ind w:left="2701" w:right="269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December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10,</w:t>
      </w:r>
      <w:r>
        <w:rPr>
          <w:rFonts w:ascii="Arial"/>
          <w:b/>
          <w:spacing w:val="-4"/>
          <w:sz w:val="22"/>
        </w:rPr>
        <w:t> 2019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line="252" w:lineRule="exact" w:before="0"/>
        <w:ind w:left="7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DEPARTMENT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2"/>
          <w:sz w:val="22"/>
        </w:rPr>
        <w:t>EDUCATION</w:t>
      </w:r>
    </w:p>
    <w:p>
      <w:pPr>
        <w:spacing w:before="0"/>
        <w:ind w:left="720" w:right="6201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Division of Universities University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North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Florida</w:t>
      </w:r>
    </w:p>
    <w:p>
      <w:pPr>
        <w:pStyle w:val="BodyText"/>
        <w:spacing w:before="1"/>
        <w:rPr>
          <w:rFonts w:ascii="Arial"/>
          <w:sz w:val="22"/>
        </w:rPr>
      </w:pPr>
    </w:p>
    <w:p>
      <w:pPr>
        <w:spacing w:line="252" w:lineRule="exact" w:before="0"/>
        <w:ind w:left="7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REGULATION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2"/>
          <w:sz w:val="22"/>
        </w:rPr>
        <w:t>TITLE:</w:t>
      </w:r>
    </w:p>
    <w:p>
      <w:pPr>
        <w:spacing w:line="252" w:lineRule="exact" w:before="0"/>
        <w:ind w:left="720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Procurement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Program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–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Bonding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pacing w:val="-2"/>
          <w:sz w:val="22"/>
        </w:rPr>
        <w:t>Requirements</w:t>
      </w:r>
    </w:p>
    <w:p>
      <w:pPr>
        <w:pStyle w:val="BodyText"/>
        <w:spacing w:before="1"/>
        <w:rPr>
          <w:rFonts w:ascii="Arial"/>
          <w:sz w:val="22"/>
        </w:rPr>
      </w:pPr>
    </w:p>
    <w:p>
      <w:pPr>
        <w:spacing w:line="252" w:lineRule="exact" w:before="0"/>
        <w:ind w:left="7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REGULATION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4"/>
          <w:sz w:val="22"/>
        </w:rPr>
        <w:t>NO.:</w:t>
      </w:r>
    </w:p>
    <w:p>
      <w:pPr>
        <w:spacing w:line="252" w:lineRule="exact" w:before="0"/>
        <w:ind w:left="720" w:right="0" w:firstLine="0"/>
        <w:jc w:val="left"/>
        <w:rPr>
          <w:rFonts w:ascii="Arial"/>
          <w:sz w:val="22"/>
        </w:rPr>
      </w:pPr>
      <w:r>
        <w:rPr>
          <w:rFonts w:ascii="Arial"/>
          <w:spacing w:val="-2"/>
          <w:sz w:val="22"/>
        </w:rPr>
        <w:t>13.0030R</w:t>
      </w:r>
    </w:p>
    <w:p>
      <w:pPr>
        <w:pStyle w:val="BodyText"/>
        <w:rPr>
          <w:rFonts w:ascii="Arial"/>
          <w:sz w:val="22"/>
        </w:rPr>
      </w:pPr>
    </w:p>
    <w:p>
      <w:pPr>
        <w:spacing w:line="252" w:lineRule="exact" w:before="1"/>
        <w:ind w:left="7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SUMMARY:</w:t>
      </w:r>
    </w:p>
    <w:p>
      <w:pPr>
        <w:spacing w:before="0"/>
        <w:ind w:left="720" w:right="717" w:firstLine="0"/>
        <w:jc w:val="both"/>
        <w:rPr>
          <w:rFonts w:ascii="Arial"/>
          <w:sz w:val="22"/>
        </w:rPr>
      </w:pPr>
      <w:r>
        <w:rPr>
          <w:rFonts w:ascii="Arial"/>
          <w:sz w:val="22"/>
        </w:rPr>
        <w:t>The repeal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z w:val="22"/>
        </w:rPr>
        <w:t>is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z w:val="22"/>
        </w:rPr>
        <w:t>being undertaken to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z w:val="22"/>
        </w:rPr>
        <w:t>omit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z w:val="22"/>
        </w:rPr>
        <w:t>a separate regulation for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z w:val="22"/>
        </w:rPr>
        <w:t>bond requirements. The language regarding bonding requirements will be incorporated into UNF regulation 13.0010R as amended.</w:t>
      </w:r>
    </w:p>
    <w:p>
      <w:pPr>
        <w:pStyle w:val="BodyText"/>
        <w:rPr>
          <w:rFonts w:ascii="Arial"/>
          <w:sz w:val="22"/>
        </w:rPr>
      </w:pPr>
    </w:p>
    <w:p>
      <w:pPr>
        <w:spacing w:line="252" w:lineRule="exact" w:before="0"/>
        <w:ind w:left="7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FULL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2"/>
          <w:sz w:val="22"/>
        </w:rPr>
        <w:t>TEXT:</w:t>
      </w:r>
    </w:p>
    <w:p>
      <w:pPr>
        <w:spacing w:line="252" w:lineRule="exact" w:before="0"/>
        <w:ind w:left="720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The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full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text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regulation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repeal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is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attached.</w:t>
      </w:r>
    </w:p>
    <w:p>
      <w:pPr>
        <w:pStyle w:val="BodyText"/>
        <w:rPr>
          <w:rFonts w:ascii="Arial"/>
          <w:sz w:val="22"/>
        </w:rPr>
      </w:pPr>
    </w:p>
    <w:p>
      <w:pPr>
        <w:spacing w:before="0"/>
        <w:ind w:left="7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AUTHORITY:</w:t>
      </w:r>
    </w:p>
    <w:p>
      <w:pPr>
        <w:spacing w:before="2"/>
        <w:ind w:left="720" w:right="2321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Resolution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Florida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Board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Governors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dated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January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7,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2003 BOG regulation 18.003</w:t>
      </w:r>
    </w:p>
    <w:p>
      <w:pPr>
        <w:pStyle w:val="BodyText"/>
        <w:rPr>
          <w:rFonts w:ascii="Arial"/>
          <w:sz w:val="22"/>
        </w:rPr>
      </w:pPr>
    </w:p>
    <w:p>
      <w:pPr>
        <w:spacing w:line="253" w:lineRule="exact" w:before="0"/>
        <w:ind w:left="7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UNIVERSITY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OFFICIAL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INITIATING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REPEALED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2"/>
          <w:sz w:val="22"/>
        </w:rPr>
        <w:t>REGULATION:</w:t>
      </w:r>
    </w:p>
    <w:p>
      <w:pPr>
        <w:pStyle w:val="BodyText"/>
        <w:spacing w:line="276" w:lineRule="exact"/>
        <w:ind w:left="720"/>
        <w:rPr>
          <w:rFonts w:ascii="Arial"/>
        </w:rPr>
      </w:pPr>
      <w:r>
        <w:rPr>
          <w:rFonts w:ascii="Arial"/>
        </w:rPr>
        <w:t>Shawn</w:t>
      </w:r>
      <w:r>
        <w:rPr>
          <w:rFonts w:ascii="Arial"/>
          <w:spacing w:val="-5"/>
        </w:rPr>
        <w:t> </w:t>
      </w:r>
      <w:r>
        <w:rPr>
          <w:rFonts w:ascii="Arial"/>
        </w:rPr>
        <w:t>Corrigan</w:t>
      </w:r>
      <w:r>
        <w:rPr>
          <w:rFonts w:ascii="Arial"/>
          <w:spacing w:val="-4"/>
        </w:rPr>
        <w:t> </w:t>
      </w:r>
      <w:r>
        <w:rPr>
          <w:rFonts w:ascii="Arial"/>
        </w:rPr>
        <w:t>Asmuth,</w:t>
      </w:r>
      <w:r>
        <w:rPr>
          <w:rFonts w:ascii="Arial"/>
          <w:spacing w:val="-4"/>
        </w:rPr>
        <w:t> </w:t>
      </w:r>
      <w:r>
        <w:rPr>
          <w:rFonts w:ascii="Arial"/>
        </w:rPr>
        <w:t>Director</w:t>
      </w:r>
      <w:r>
        <w:rPr>
          <w:rFonts w:ascii="Arial"/>
          <w:spacing w:val="-5"/>
        </w:rPr>
        <w:t> </w:t>
      </w:r>
      <w:r>
        <w:rPr>
          <w:rFonts w:ascii="Arial"/>
        </w:rPr>
        <w:t>Procurement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Services</w:t>
      </w:r>
    </w:p>
    <w:p>
      <w:pPr>
        <w:pStyle w:val="BodyText"/>
        <w:rPr>
          <w:rFonts w:ascii="Arial"/>
          <w:sz w:val="26"/>
        </w:rPr>
      </w:pPr>
    </w:p>
    <w:p>
      <w:pPr>
        <w:spacing w:before="207"/>
        <w:ind w:left="7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INDIVIDUAL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BE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CONTACTED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REGARDING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REPEALED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2"/>
          <w:sz w:val="22"/>
        </w:rPr>
        <w:t>REGULATION:</w:t>
      </w:r>
    </w:p>
    <w:p>
      <w:pPr>
        <w:spacing w:before="1"/>
        <w:ind w:left="720" w:right="946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Stephanie Howell, Paralegal, Office of the General Counsel, </w:t>
      </w:r>
      <w:hyperlink r:id="rId5">
        <w:r>
          <w:rPr>
            <w:rFonts w:ascii="Arial"/>
            <w:color w:val="0000FF"/>
            <w:sz w:val="22"/>
            <w:u w:val="single" w:color="0000FF"/>
          </w:rPr>
          <w:t>showell@unf.edu</w:t>
        </w:r>
      </w:hyperlink>
      <w:r>
        <w:rPr>
          <w:rFonts w:ascii="Arial"/>
          <w:sz w:val="22"/>
        </w:rPr>
        <w:t>, phone (904)620-2828;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fax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(904)620-1044;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Building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1,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Room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2100,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1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UNF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Drive,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Jacksonville,</w:t>
      </w:r>
    </w:p>
    <w:p>
      <w:pPr>
        <w:spacing w:line="251" w:lineRule="exact" w:before="0"/>
        <w:ind w:left="720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FL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pacing w:val="-2"/>
          <w:sz w:val="22"/>
        </w:rPr>
        <w:t>32224.</w:t>
      </w: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0"/>
        </w:rPr>
      </w:pPr>
    </w:p>
    <w:p>
      <w:pPr>
        <w:spacing w:before="1"/>
        <w:ind w:left="720" w:right="657" w:firstLine="0"/>
        <w:jc w:val="left"/>
        <w:rPr>
          <w:rFonts w:ascii="Arial"/>
          <w:b/>
          <w:i/>
          <w:sz w:val="22"/>
        </w:rPr>
      </w:pPr>
      <w:r>
        <w:rPr>
          <w:rFonts w:ascii="Arial"/>
          <w:b/>
          <w:i/>
          <w:sz w:val="22"/>
        </w:rPr>
        <w:t>Any comments regarding the repeal of the regulation must be communicated in</w:t>
      </w:r>
      <w:r>
        <w:rPr>
          <w:rFonts w:ascii="Arial"/>
          <w:b/>
          <w:i/>
          <w:sz w:val="22"/>
        </w:rPr>
        <w:t> writing</w:t>
      </w:r>
      <w:r>
        <w:rPr>
          <w:rFonts w:ascii="Arial"/>
          <w:b/>
          <w:i/>
          <w:spacing w:val="-5"/>
          <w:sz w:val="22"/>
        </w:rPr>
        <w:t> </w:t>
      </w:r>
      <w:r>
        <w:rPr>
          <w:rFonts w:ascii="Arial"/>
          <w:b/>
          <w:i/>
          <w:sz w:val="22"/>
        </w:rPr>
        <w:t>to</w:t>
      </w:r>
      <w:r>
        <w:rPr>
          <w:rFonts w:ascii="Arial"/>
          <w:b/>
          <w:i/>
          <w:spacing w:val="-4"/>
          <w:sz w:val="22"/>
        </w:rPr>
        <w:t> </w:t>
      </w:r>
      <w:r>
        <w:rPr>
          <w:rFonts w:ascii="Arial"/>
          <w:b/>
          <w:i/>
          <w:sz w:val="22"/>
        </w:rPr>
        <w:t>the</w:t>
      </w:r>
      <w:r>
        <w:rPr>
          <w:rFonts w:ascii="Arial"/>
          <w:b/>
          <w:i/>
          <w:spacing w:val="-3"/>
          <w:sz w:val="22"/>
        </w:rPr>
        <w:t> </w:t>
      </w:r>
      <w:r>
        <w:rPr>
          <w:rFonts w:ascii="Arial"/>
          <w:b/>
          <w:i/>
          <w:sz w:val="22"/>
        </w:rPr>
        <w:t>contact</w:t>
      </w:r>
      <w:r>
        <w:rPr>
          <w:rFonts w:ascii="Arial"/>
          <w:b/>
          <w:i/>
          <w:spacing w:val="-4"/>
          <w:sz w:val="22"/>
        </w:rPr>
        <w:t> </w:t>
      </w:r>
      <w:r>
        <w:rPr>
          <w:rFonts w:ascii="Arial"/>
          <w:b/>
          <w:i/>
          <w:sz w:val="22"/>
        </w:rPr>
        <w:t>person</w:t>
      </w:r>
      <w:r>
        <w:rPr>
          <w:rFonts w:ascii="Arial"/>
          <w:b/>
          <w:i/>
          <w:spacing w:val="-3"/>
          <w:sz w:val="22"/>
        </w:rPr>
        <w:t> </w:t>
      </w:r>
      <w:r>
        <w:rPr>
          <w:rFonts w:ascii="Arial"/>
          <w:b/>
          <w:i/>
          <w:sz w:val="22"/>
        </w:rPr>
        <w:t>on</w:t>
      </w:r>
      <w:r>
        <w:rPr>
          <w:rFonts w:ascii="Arial"/>
          <w:b/>
          <w:i/>
          <w:spacing w:val="-3"/>
          <w:sz w:val="22"/>
        </w:rPr>
        <w:t> </w:t>
      </w:r>
      <w:r>
        <w:rPr>
          <w:rFonts w:ascii="Arial"/>
          <w:b/>
          <w:i/>
          <w:sz w:val="22"/>
        </w:rPr>
        <w:t>or</w:t>
      </w:r>
      <w:r>
        <w:rPr>
          <w:rFonts w:ascii="Arial"/>
          <w:b/>
          <w:i/>
          <w:spacing w:val="-2"/>
          <w:sz w:val="22"/>
        </w:rPr>
        <w:t> </w:t>
      </w:r>
      <w:r>
        <w:rPr>
          <w:rFonts w:ascii="Arial"/>
          <w:b/>
          <w:i/>
          <w:sz w:val="22"/>
        </w:rPr>
        <w:t>before</w:t>
      </w:r>
      <w:r>
        <w:rPr>
          <w:rFonts w:ascii="Arial"/>
          <w:b/>
          <w:i/>
          <w:spacing w:val="-3"/>
          <w:sz w:val="22"/>
        </w:rPr>
        <w:t> </w:t>
      </w:r>
      <w:r>
        <w:rPr>
          <w:rFonts w:ascii="Arial"/>
          <w:b/>
          <w:i/>
          <w:sz w:val="22"/>
        </w:rPr>
        <w:t>December</w:t>
      </w:r>
      <w:r>
        <w:rPr>
          <w:rFonts w:ascii="Arial"/>
          <w:b/>
          <w:i/>
          <w:spacing w:val="-2"/>
          <w:sz w:val="22"/>
        </w:rPr>
        <w:t> </w:t>
      </w:r>
      <w:r>
        <w:rPr>
          <w:rFonts w:ascii="Arial"/>
          <w:b/>
          <w:i/>
          <w:sz w:val="22"/>
        </w:rPr>
        <w:t>26,</w:t>
      </w:r>
      <w:r>
        <w:rPr>
          <w:rFonts w:ascii="Arial"/>
          <w:b/>
          <w:i/>
          <w:spacing w:val="-1"/>
          <w:sz w:val="22"/>
        </w:rPr>
        <w:t> </w:t>
      </w:r>
      <w:r>
        <w:rPr>
          <w:rFonts w:ascii="Arial"/>
          <w:b/>
          <w:i/>
          <w:sz w:val="22"/>
        </w:rPr>
        <w:t>2019,</w:t>
      </w:r>
      <w:r>
        <w:rPr>
          <w:rFonts w:ascii="Arial"/>
          <w:b/>
          <w:i/>
          <w:spacing w:val="-4"/>
          <w:sz w:val="22"/>
        </w:rPr>
        <w:t> </w:t>
      </w:r>
      <w:r>
        <w:rPr>
          <w:rFonts w:ascii="Arial"/>
          <w:b/>
          <w:i/>
          <w:sz w:val="22"/>
        </w:rPr>
        <w:t>in</w:t>
      </w:r>
      <w:r>
        <w:rPr>
          <w:rFonts w:ascii="Arial"/>
          <w:b/>
          <w:i/>
          <w:spacing w:val="-4"/>
          <w:sz w:val="22"/>
        </w:rPr>
        <w:t> </w:t>
      </w:r>
      <w:r>
        <w:rPr>
          <w:rFonts w:ascii="Arial"/>
          <w:b/>
          <w:i/>
          <w:sz w:val="22"/>
        </w:rPr>
        <w:t>order</w:t>
      </w:r>
      <w:r>
        <w:rPr>
          <w:rFonts w:ascii="Arial"/>
          <w:b/>
          <w:i/>
          <w:spacing w:val="-1"/>
          <w:sz w:val="22"/>
        </w:rPr>
        <w:t> </w:t>
      </w:r>
      <w:r>
        <w:rPr>
          <w:rFonts w:ascii="Arial"/>
          <w:b/>
          <w:i/>
          <w:sz w:val="22"/>
        </w:rPr>
        <w:t>to</w:t>
      </w:r>
      <w:r>
        <w:rPr>
          <w:rFonts w:ascii="Arial"/>
          <w:b/>
          <w:i/>
          <w:spacing w:val="-4"/>
          <w:sz w:val="22"/>
        </w:rPr>
        <w:t> </w:t>
      </w:r>
      <w:r>
        <w:rPr>
          <w:rFonts w:ascii="Arial"/>
          <w:b/>
          <w:i/>
          <w:sz w:val="22"/>
        </w:rPr>
        <w:t>receive full consideration.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960" w:bottom="280" w:left="1080" w:right="1080"/>
        </w:sectPr>
      </w:pPr>
    </w:p>
    <w:p>
      <w:pPr>
        <w:spacing w:before="60"/>
        <w:ind w:left="2701" w:right="2700" w:firstLine="0"/>
        <w:jc w:val="center"/>
        <w:rPr>
          <w:rFonts w:ascii="Arial"/>
          <w:sz w:val="40"/>
        </w:rPr>
      </w:pPr>
      <w:r>
        <w:rPr>
          <w:rFonts w:ascii="Arial"/>
          <w:sz w:val="40"/>
        </w:rPr>
        <w:t>Polices</w:t>
      </w:r>
      <w:r>
        <w:rPr>
          <w:rFonts w:ascii="Arial"/>
          <w:spacing w:val="-1"/>
          <w:sz w:val="40"/>
        </w:rPr>
        <w:t> </w:t>
      </w:r>
      <w:r>
        <w:rPr>
          <w:rFonts w:ascii="Arial"/>
          <w:sz w:val="40"/>
        </w:rPr>
        <w:t>&amp;</w:t>
      </w:r>
      <w:r>
        <w:rPr>
          <w:rFonts w:ascii="Arial"/>
          <w:spacing w:val="-3"/>
          <w:sz w:val="40"/>
        </w:rPr>
        <w:t> </w:t>
      </w:r>
      <w:r>
        <w:rPr>
          <w:rFonts w:ascii="Arial"/>
          <w:spacing w:val="-2"/>
          <w:sz w:val="40"/>
        </w:rPr>
        <w:t>Regulations</w:t>
      </w:r>
    </w:p>
    <w:p>
      <w:pPr>
        <w:pStyle w:val="BodyText"/>
        <w:spacing w:before="2"/>
        <w:rPr>
          <w:rFonts w:ascii="Arial"/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4953"/>
        <w:gridCol w:w="3863"/>
      </w:tblGrid>
      <w:tr>
        <w:trPr>
          <w:trHeight w:val="441" w:hRule="atLeast"/>
        </w:trPr>
        <w:tc>
          <w:tcPr>
            <w:tcW w:w="9868" w:type="dxa"/>
            <w:gridSpan w:val="3"/>
          </w:tcPr>
          <w:p>
            <w:pPr>
              <w:pStyle w:val="TableParagraph"/>
              <w:spacing w:before="105"/>
              <w:rPr>
                <w:b/>
                <w:sz w:val="20"/>
              </w:rPr>
            </w:pPr>
            <w:r>
              <w:rPr>
                <w:b/>
                <w:sz w:val="20"/>
              </w:rPr>
              <w:t>Subject: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Purchasing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Bonding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>
        <w:trPr>
          <w:trHeight w:val="438" w:hRule="atLeast"/>
        </w:trPr>
        <w:tc>
          <w:tcPr>
            <w:tcW w:w="1052" w:type="dxa"/>
          </w:tcPr>
          <w:p>
            <w:pPr>
              <w:pStyle w:val="TableParagraph"/>
              <w:spacing w:before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4953" w:type="dxa"/>
          </w:tcPr>
          <w:p>
            <w:pPr>
              <w:pStyle w:val="TableParagraph"/>
              <w:spacing w:before="102"/>
              <w:rPr>
                <w:sz w:val="20"/>
              </w:rPr>
            </w:pPr>
            <w:r>
              <w:rPr>
                <w:spacing w:val="-2"/>
                <w:sz w:val="20"/>
              </w:rPr>
              <w:t>13.0030R</w:t>
            </w:r>
          </w:p>
        </w:tc>
        <w:tc>
          <w:tcPr>
            <w:tcW w:w="3863" w:type="dxa"/>
            <w:vMerge w:val="restart"/>
          </w:tcPr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</w:t>
            </w:r>
            <w:r>
              <w:rPr>
                <w:rFonts w:ascii="Times New Roman" w:hAnsi="Times New Roman"/>
                <w:spacing w:val="58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Regulation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5" w:val="left" w:leader="none"/>
              </w:tabs>
              <w:spacing w:line="229" w:lineRule="exact" w:before="0" w:after="0"/>
              <w:ind w:left="394" w:right="0" w:hanging="289"/>
              <w:jc w:val="left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Revision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Regulation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0" w:val="left" w:leader="none"/>
              </w:tabs>
              <w:spacing w:line="240" w:lineRule="auto" w:before="0" w:after="0"/>
              <w:ind w:left="106" w:right="302" w:firstLine="0"/>
              <w:jc w:val="left"/>
              <w:rPr>
                <w:sz w:val="20"/>
              </w:rPr>
            </w:pPr>
            <w:r>
              <w:rPr>
                <w:sz w:val="20"/>
              </w:rPr>
              <w:t>Minor/Technical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Revision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Existing </w:t>
            </w:r>
            <w:r>
              <w:rPr>
                <w:spacing w:val="-2"/>
                <w:sz w:val="20"/>
              </w:rPr>
              <w:t>Regulation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289"/>
              <w:jc w:val="left"/>
              <w:rPr>
                <w:sz w:val="20"/>
              </w:rPr>
            </w:pPr>
            <w:r>
              <w:rPr>
                <w:sz w:val="20"/>
              </w:rPr>
              <w:t>Reaffirmation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Regulation</w:t>
            </w:r>
          </w:p>
        </w:tc>
      </w:tr>
      <w:tr>
        <w:trPr>
          <w:trHeight w:val="460" w:hRule="atLeast"/>
        </w:trPr>
        <w:tc>
          <w:tcPr>
            <w:tcW w:w="1052" w:type="dxa"/>
          </w:tcPr>
          <w:p>
            <w:pPr>
              <w:pStyle w:val="TableParagraph"/>
              <w:spacing w:line="230" w:lineRule="exact"/>
              <w:ind w:righ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Effective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4953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15,</w:t>
            </w:r>
            <w:r>
              <w:rPr>
                <w:spacing w:val="-4"/>
                <w:sz w:val="20"/>
              </w:rPr>
              <w:t> 2013</w:t>
            </w:r>
          </w:p>
        </w:tc>
        <w:tc>
          <w:tcPr>
            <w:tcW w:w="3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052" w:type="dxa"/>
          </w:tcPr>
          <w:p>
            <w:pPr>
              <w:pStyle w:val="TableParagraph"/>
              <w:spacing w:line="230" w:lineRule="exact"/>
              <w:ind w:right="1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Revised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495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05" w:type="dxa"/>
            <w:gridSpan w:val="2"/>
          </w:tcPr>
          <w:p>
            <w:pPr>
              <w:pStyle w:val="TableParagraph"/>
              <w:spacing w:line="230" w:lineRule="atLeast"/>
              <w:ind w:right="157"/>
              <w:rPr>
                <w:sz w:val="20"/>
              </w:rPr>
            </w:pPr>
            <w:r>
              <w:rPr>
                <w:b/>
                <w:sz w:val="20"/>
              </w:rPr>
              <w:t>Responsible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Division/Department: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sz w:val="20"/>
              </w:rPr>
              <w:t>Administration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 Finance/ Purchasing</w:t>
            </w:r>
          </w:p>
        </w:tc>
        <w:tc>
          <w:tcPr>
            <w:tcW w:w="3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rFonts w:ascii="Arial"/>
          <w:sz w:val="45"/>
        </w:rPr>
      </w:pPr>
    </w:p>
    <w:p>
      <w:pPr>
        <w:pStyle w:val="Heading1"/>
        <w:numPr>
          <w:ilvl w:val="0"/>
          <w:numId w:val="2"/>
        </w:numPr>
        <w:tabs>
          <w:tab w:pos="1173" w:val="left" w:leader="none"/>
          <w:tab w:pos="1174" w:val="left" w:leader="none"/>
        </w:tabs>
        <w:spacing w:line="240" w:lineRule="auto" w:before="0" w:after="0"/>
        <w:ind w:left="1174" w:right="0" w:hanging="454"/>
        <w:jc w:val="left"/>
      </w:pPr>
      <w:r>
        <w:rPr/>
        <w:t>OBJECTIVE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>
          <w:spacing w:val="-2"/>
        </w:rPr>
        <w:t>PURPOSE</w:t>
      </w:r>
    </w:p>
    <w:p>
      <w:pPr>
        <w:spacing w:before="137"/>
        <w:ind w:left="720" w:right="657" w:firstLine="0"/>
        <w:jc w:val="left"/>
        <w:rPr>
          <w:sz w:val="22"/>
        </w:rPr>
      </w:pPr>
      <w:r>
        <w:rPr/>
        <w:pict>
          <v:rect style="position:absolute;margin-left:54pt;margin-top:6.89311pt;width:.72pt;height:26.52pt;mso-position-horizontal-relative:page;mso-position-vertical-relative:paragraph;z-index:15733248" id="docshape1" filled="true" fillcolor="#000000" stroked="false">
            <v:fill type="solid"/>
            <w10:wrap type="none"/>
          </v:rect>
        </w:pict>
      </w:r>
      <w:r>
        <w:rPr>
          <w:strike/>
          <w:color w:val="623177"/>
          <w:sz w:val="24"/>
        </w:rPr>
        <w:t>The</w:t>
      </w:r>
      <w:r>
        <w:rPr>
          <w:strike/>
          <w:color w:val="623177"/>
          <w:spacing w:val="-4"/>
          <w:sz w:val="24"/>
        </w:rPr>
        <w:t> </w:t>
      </w:r>
      <w:r>
        <w:rPr>
          <w:strike/>
          <w:color w:val="623177"/>
          <w:sz w:val="24"/>
        </w:rPr>
        <w:t>objective</w:t>
      </w:r>
      <w:r>
        <w:rPr>
          <w:strike/>
          <w:color w:val="623177"/>
          <w:spacing w:val="-3"/>
          <w:sz w:val="24"/>
        </w:rPr>
        <w:t> </w:t>
      </w:r>
      <w:r>
        <w:rPr>
          <w:strike/>
          <w:color w:val="623177"/>
          <w:sz w:val="24"/>
        </w:rPr>
        <w:t>of</w:t>
      </w:r>
      <w:r>
        <w:rPr>
          <w:strike/>
          <w:color w:val="623177"/>
          <w:spacing w:val="-2"/>
          <w:sz w:val="24"/>
        </w:rPr>
        <w:t> </w:t>
      </w:r>
      <w:r>
        <w:rPr>
          <w:strike/>
          <w:color w:val="623177"/>
          <w:sz w:val="24"/>
        </w:rPr>
        <w:t>the</w:t>
      </w:r>
      <w:r>
        <w:rPr>
          <w:strike/>
          <w:color w:val="623177"/>
          <w:spacing w:val="-3"/>
          <w:sz w:val="24"/>
        </w:rPr>
        <w:t> </w:t>
      </w:r>
      <w:r>
        <w:rPr>
          <w:strike/>
          <w:color w:val="623177"/>
          <w:sz w:val="24"/>
        </w:rPr>
        <w:t>regulation</w:t>
      </w:r>
      <w:r>
        <w:rPr>
          <w:strike/>
          <w:color w:val="623177"/>
          <w:spacing w:val="-2"/>
          <w:sz w:val="24"/>
        </w:rPr>
        <w:t> </w:t>
      </w:r>
      <w:r>
        <w:rPr>
          <w:strike/>
          <w:color w:val="623177"/>
          <w:sz w:val="24"/>
        </w:rPr>
        <w:t>is</w:t>
      </w:r>
      <w:r>
        <w:rPr>
          <w:strike/>
          <w:color w:val="623177"/>
          <w:spacing w:val="-2"/>
          <w:sz w:val="24"/>
        </w:rPr>
        <w:t> </w:t>
      </w:r>
      <w:r>
        <w:rPr>
          <w:strike/>
          <w:color w:val="623177"/>
          <w:sz w:val="24"/>
        </w:rPr>
        <w:t>to </w:t>
      </w:r>
      <w:r>
        <w:rPr>
          <w:strike/>
          <w:color w:val="623177"/>
          <w:sz w:val="22"/>
        </w:rPr>
        <w:t>address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bond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requirements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for use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during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bids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and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in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pacing w:val="-2"/>
          <w:sz w:val="22"/>
        </w:rPr>
        <w:t>protest.</w:t>
      </w:r>
    </w:p>
    <w:p>
      <w:pPr>
        <w:pStyle w:val="BodyText"/>
        <w:spacing w:before="4"/>
        <w:rPr>
          <w:sz w:val="16"/>
        </w:rPr>
      </w:pPr>
    </w:p>
    <w:p>
      <w:pPr>
        <w:pStyle w:val="Heading1"/>
        <w:numPr>
          <w:ilvl w:val="0"/>
          <w:numId w:val="2"/>
        </w:numPr>
        <w:tabs>
          <w:tab w:pos="1148" w:val="left" w:leader="none"/>
        </w:tabs>
        <w:spacing w:line="240" w:lineRule="auto" w:before="90" w:after="0"/>
        <w:ind w:left="1147" w:right="0" w:hanging="428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REGULATION</w:t>
      </w:r>
    </w:p>
    <w:p>
      <w:pPr>
        <w:pStyle w:val="ListParagraph"/>
        <w:numPr>
          <w:ilvl w:val="1"/>
          <w:numId w:val="2"/>
        </w:numPr>
        <w:tabs>
          <w:tab w:pos="1155" w:val="left" w:leader="none"/>
        </w:tabs>
        <w:spacing w:line="240" w:lineRule="auto" w:before="136" w:after="0"/>
        <w:ind w:left="720" w:right="717" w:firstLine="60"/>
        <w:jc w:val="both"/>
        <w:rPr>
          <w:color w:val="623177"/>
          <w:sz w:val="24"/>
        </w:rPr>
      </w:pPr>
      <w:r>
        <w:rPr/>
        <w:pict>
          <v:rect style="position:absolute;margin-left:90.024002pt;margin-top:14.883109pt;width:432.07pt;height:.600010pt;mso-position-horizontal-relative:page;mso-position-vertical-relative:paragraph;z-index:-15796736" id="docshape2" filled="true" fillcolor="#623177" stroked="false">
            <v:fill type="solid"/>
            <w10:wrap type="none"/>
          </v:rect>
        </w:pict>
      </w:r>
      <w:r>
        <w:rPr/>
        <w:pict>
          <v:rect style="position:absolute;margin-left:90.024002pt;margin-top:28.68314pt;width:432.07pt;height:.599980pt;mso-position-horizontal-relative:page;mso-position-vertical-relative:paragraph;z-index:-15796224" id="docshape3" filled="true" fillcolor="#623177" stroked="false">
            <v:fill type="solid"/>
            <w10:wrap type="none"/>
          </v:rect>
        </w:pict>
      </w:r>
      <w:r>
        <w:rPr/>
        <w:pict>
          <v:rect style="position:absolute;margin-left:54pt;margin-top:6.843119pt;width:.72pt;height:41.4pt;mso-position-horizontal-relative:page;mso-position-vertical-relative:paragraph;z-index:15733760" id="docshape4" filled="true" fillcolor="#000000" stroked="false">
            <v:fill type="solid"/>
            <w10:wrap type="none"/>
          </v:rect>
        </w:pict>
      </w:r>
      <w:r>
        <w:rPr>
          <w:b/>
          <w:color w:val="623177"/>
          <w:sz w:val="24"/>
        </w:rPr>
        <w:t>Solicitation Security. </w:t>
      </w:r>
      <w:r>
        <w:rPr>
          <w:color w:val="623177"/>
          <w:sz w:val="24"/>
        </w:rPr>
        <w:t>A certified, cashier’s or treasurer’s check, bank draft, bank official</w:t>
      </w:r>
      <w:r>
        <w:rPr>
          <w:color w:val="623177"/>
          <w:spacing w:val="-2"/>
          <w:sz w:val="24"/>
        </w:rPr>
        <w:t> </w:t>
      </w:r>
      <w:r>
        <w:rPr>
          <w:color w:val="623177"/>
          <w:sz w:val="24"/>
        </w:rPr>
        <w:t>check</w:t>
      </w:r>
      <w:r>
        <w:rPr>
          <w:color w:val="623177"/>
          <w:spacing w:val="-2"/>
          <w:sz w:val="24"/>
        </w:rPr>
        <w:t> </w:t>
      </w:r>
      <w:r>
        <w:rPr>
          <w:color w:val="623177"/>
          <w:sz w:val="24"/>
        </w:rPr>
        <w:t>or</w:t>
      </w:r>
      <w:r>
        <w:rPr>
          <w:color w:val="623177"/>
          <w:spacing w:val="-2"/>
          <w:sz w:val="24"/>
        </w:rPr>
        <w:t> </w:t>
      </w:r>
      <w:r>
        <w:rPr>
          <w:color w:val="623177"/>
          <w:sz w:val="24"/>
        </w:rPr>
        <w:t>bid</w:t>
      </w:r>
      <w:r>
        <w:rPr>
          <w:color w:val="623177"/>
          <w:spacing w:val="-2"/>
          <w:sz w:val="24"/>
        </w:rPr>
        <w:t> </w:t>
      </w:r>
      <w:r>
        <w:rPr>
          <w:color w:val="623177"/>
          <w:sz w:val="24"/>
        </w:rPr>
        <w:t>bond</w:t>
      </w:r>
      <w:r>
        <w:rPr>
          <w:color w:val="623177"/>
          <w:spacing w:val="-2"/>
          <w:sz w:val="24"/>
        </w:rPr>
        <w:t> </w:t>
      </w:r>
      <w:r>
        <w:rPr>
          <w:color w:val="623177"/>
          <w:sz w:val="24"/>
        </w:rPr>
        <w:t>may</w:t>
      </w:r>
      <w:r>
        <w:rPr>
          <w:color w:val="623177"/>
          <w:spacing w:val="-5"/>
          <w:sz w:val="24"/>
        </w:rPr>
        <w:t> </w:t>
      </w:r>
      <w:r>
        <w:rPr>
          <w:color w:val="623177"/>
          <w:sz w:val="24"/>
        </w:rPr>
        <w:t>be</w:t>
      </w:r>
      <w:r>
        <w:rPr>
          <w:color w:val="623177"/>
          <w:spacing w:val="-1"/>
          <w:sz w:val="24"/>
        </w:rPr>
        <w:t> </w:t>
      </w:r>
      <w:r>
        <w:rPr>
          <w:color w:val="623177"/>
          <w:sz w:val="24"/>
        </w:rPr>
        <w:t>required</w:t>
      </w:r>
      <w:r>
        <w:rPr>
          <w:color w:val="623177"/>
          <w:spacing w:val="-2"/>
          <w:sz w:val="24"/>
        </w:rPr>
        <w:t> </w:t>
      </w:r>
      <w:r>
        <w:rPr>
          <w:color w:val="623177"/>
          <w:sz w:val="24"/>
        </w:rPr>
        <w:t>as a</w:t>
      </w:r>
      <w:r>
        <w:rPr>
          <w:color w:val="623177"/>
          <w:spacing w:val="-3"/>
          <w:sz w:val="24"/>
        </w:rPr>
        <w:t> </w:t>
      </w:r>
      <w:r>
        <w:rPr>
          <w:color w:val="623177"/>
          <w:sz w:val="24"/>
        </w:rPr>
        <w:t>condition of</w:t>
      </w:r>
      <w:r>
        <w:rPr>
          <w:color w:val="623177"/>
          <w:spacing w:val="-3"/>
          <w:sz w:val="24"/>
        </w:rPr>
        <w:t> </w:t>
      </w:r>
      <w:r>
        <w:rPr>
          <w:color w:val="623177"/>
          <w:sz w:val="24"/>
        </w:rPr>
        <w:t>participating</w:t>
      </w:r>
      <w:r>
        <w:rPr>
          <w:color w:val="623177"/>
          <w:spacing w:val="-5"/>
          <w:sz w:val="24"/>
        </w:rPr>
        <w:t> </w:t>
      </w:r>
      <w:r>
        <w:rPr>
          <w:color w:val="623177"/>
          <w:sz w:val="24"/>
        </w:rPr>
        <w:t>in</w:t>
      </w:r>
      <w:r>
        <w:rPr>
          <w:color w:val="623177"/>
          <w:spacing w:val="-2"/>
          <w:sz w:val="24"/>
        </w:rPr>
        <w:t> </w:t>
      </w:r>
      <w:r>
        <w:rPr>
          <w:color w:val="623177"/>
          <w:sz w:val="24"/>
        </w:rPr>
        <w:t>a</w:t>
      </w:r>
      <w:r>
        <w:rPr>
          <w:color w:val="623177"/>
          <w:spacing w:val="-3"/>
          <w:sz w:val="24"/>
        </w:rPr>
        <w:t> </w:t>
      </w:r>
      <w:r>
        <w:rPr>
          <w:color w:val="623177"/>
          <w:sz w:val="24"/>
        </w:rPr>
        <w:t>competitive </w:t>
      </w:r>
      <w:r>
        <w:rPr>
          <w:strike/>
          <w:color w:val="623177"/>
          <w:spacing w:val="-2"/>
          <w:sz w:val="24"/>
        </w:rPr>
        <w:t>solicitation.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numPr>
          <w:ilvl w:val="1"/>
          <w:numId w:val="2"/>
        </w:numPr>
        <w:tabs>
          <w:tab w:pos="1062" w:val="left" w:leader="none"/>
        </w:tabs>
        <w:spacing w:line="240" w:lineRule="auto" w:before="90" w:after="0"/>
        <w:ind w:left="1061" w:right="0" w:hanging="342"/>
        <w:jc w:val="left"/>
        <w:rPr>
          <w:b w:val="0"/>
          <w:color w:val="623177"/>
        </w:rPr>
      </w:pPr>
      <w:r>
        <w:rPr/>
        <w:pict>
          <v:rect style="position:absolute;margin-left:54pt;margin-top:4.543118pt;width:.72pt;height:110.4pt;mso-position-horizontal-relative:page;mso-position-vertical-relative:paragraph;z-index:15734272" id="docshape5" filled="true" fillcolor="#000000" stroked="false">
            <v:fill type="solid"/>
            <w10:wrap type="none"/>
          </v:rect>
        </w:pict>
      </w:r>
      <w:r>
        <w:rPr>
          <w:strike/>
          <w:color w:val="623177"/>
        </w:rPr>
        <w:t>Payment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and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Performance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  <w:spacing w:val="-2"/>
        </w:rPr>
        <w:t>Bonds.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2"/>
          <w:numId w:val="2"/>
        </w:numPr>
        <w:tabs>
          <w:tab w:pos="1841" w:val="left" w:leader="none"/>
        </w:tabs>
        <w:spacing w:line="240" w:lineRule="auto" w:before="90" w:after="0"/>
        <w:ind w:left="1440" w:right="716" w:firstLine="0"/>
        <w:jc w:val="both"/>
        <w:rPr>
          <w:color w:val="623177"/>
          <w:sz w:val="24"/>
        </w:rPr>
      </w:pPr>
      <w:r>
        <w:rPr/>
        <w:pict>
          <v:rect style="position:absolute;margin-left:90.024002pt;margin-top:12.583101pt;width:432.07pt;height:.600010pt;mso-position-horizontal-relative:page;mso-position-vertical-relative:paragraph;z-index:-15795712" id="docshape6" filled="true" fillcolor="#623177" stroked="false">
            <v:fill type="solid"/>
            <w10:wrap type="none"/>
          </v:rect>
        </w:pict>
      </w:r>
      <w:r>
        <w:rPr/>
        <w:pict>
          <v:rect style="position:absolute;margin-left:90.024002pt;margin-top:26.383102pt;width:432.07pt;height:.600010pt;mso-position-horizontal-relative:page;mso-position-vertical-relative:paragraph;z-index:-15795200" id="docshape7" filled="true" fillcolor="#623177" stroked="false">
            <v:fill type="solid"/>
            <w10:wrap type="none"/>
          </v:rect>
        </w:pict>
      </w:r>
      <w:r>
        <w:rPr/>
        <w:pict>
          <v:rect style="position:absolute;margin-left:90.024002pt;margin-top:40.183102pt;width:432.07pt;height:.600010pt;mso-position-horizontal-relative:page;mso-position-vertical-relative:paragraph;z-index:-15794688" id="docshape8" filled="true" fillcolor="#623177" stroked="false">
            <v:fill type="solid"/>
            <w10:wrap type="none"/>
          </v:rect>
        </w:pict>
      </w:r>
      <w:r>
        <w:rPr>
          <w:color w:val="623177"/>
          <w:sz w:val="24"/>
        </w:rPr>
        <w:t>Any contractor contracting with the University to provide commodities, services or commodities which include installation, may be required to furnish a payment</w:t>
      </w:r>
      <w:r>
        <w:rPr>
          <w:color w:val="623177"/>
          <w:spacing w:val="75"/>
          <w:sz w:val="24"/>
        </w:rPr>
        <w:t> </w:t>
      </w:r>
      <w:r>
        <w:rPr>
          <w:color w:val="623177"/>
          <w:sz w:val="24"/>
        </w:rPr>
        <w:t>and</w:t>
      </w:r>
      <w:r>
        <w:rPr>
          <w:color w:val="623177"/>
          <w:spacing w:val="74"/>
          <w:sz w:val="24"/>
        </w:rPr>
        <w:t> </w:t>
      </w:r>
      <w:r>
        <w:rPr>
          <w:color w:val="623177"/>
          <w:sz w:val="24"/>
        </w:rPr>
        <w:t>performance</w:t>
      </w:r>
      <w:r>
        <w:rPr>
          <w:color w:val="623177"/>
          <w:spacing w:val="74"/>
          <w:sz w:val="24"/>
        </w:rPr>
        <w:t> </w:t>
      </w:r>
      <w:r>
        <w:rPr>
          <w:color w:val="623177"/>
          <w:sz w:val="24"/>
        </w:rPr>
        <w:t>bond,</w:t>
      </w:r>
      <w:r>
        <w:rPr>
          <w:color w:val="623177"/>
          <w:spacing w:val="74"/>
          <w:sz w:val="24"/>
        </w:rPr>
        <w:t> </w:t>
      </w:r>
      <w:r>
        <w:rPr>
          <w:color w:val="623177"/>
          <w:sz w:val="24"/>
        </w:rPr>
        <w:t>with</w:t>
      </w:r>
      <w:r>
        <w:rPr>
          <w:color w:val="623177"/>
          <w:spacing w:val="75"/>
          <w:sz w:val="24"/>
        </w:rPr>
        <w:t> </w:t>
      </w:r>
      <w:r>
        <w:rPr>
          <w:color w:val="623177"/>
          <w:sz w:val="24"/>
        </w:rPr>
        <w:t>good</w:t>
      </w:r>
      <w:r>
        <w:rPr>
          <w:color w:val="623177"/>
          <w:spacing w:val="74"/>
          <w:sz w:val="24"/>
        </w:rPr>
        <w:t> </w:t>
      </w:r>
      <w:r>
        <w:rPr>
          <w:color w:val="623177"/>
          <w:sz w:val="24"/>
        </w:rPr>
        <w:t>and</w:t>
      </w:r>
      <w:r>
        <w:rPr>
          <w:color w:val="623177"/>
          <w:spacing w:val="74"/>
          <w:sz w:val="24"/>
        </w:rPr>
        <w:t> </w:t>
      </w:r>
      <w:r>
        <w:rPr>
          <w:color w:val="623177"/>
          <w:sz w:val="24"/>
        </w:rPr>
        <w:t>sufficient</w:t>
      </w:r>
      <w:r>
        <w:rPr>
          <w:color w:val="623177"/>
          <w:spacing w:val="75"/>
          <w:sz w:val="24"/>
        </w:rPr>
        <w:t> </w:t>
      </w:r>
      <w:r>
        <w:rPr>
          <w:color w:val="623177"/>
          <w:sz w:val="24"/>
        </w:rPr>
        <w:t>securities,</w:t>
      </w:r>
      <w:r>
        <w:rPr>
          <w:color w:val="623177"/>
          <w:spacing w:val="77"/>
          <w:sz w:val="24"/>
        </w:rPr>
        <w:t> </w:t>
      </w:r>
      <w:r>
        <w:rPr>
          <w:color w:val="623177"/>
          <w:sz w:val="24"/>
        </w:rPr>
        <w:t>to</w:t>
      </w:r>
      <w:r>
        <w:rPr>
          <w:color w:val="623177"/>
          <w:spacing w:val="75"/>
          <w:sz w:val="24"/>
        </w:rPr>
        <w:t> </w:t>
      </w:r>
      <w:r>
        <w:rPr>
          <w:color w:val="623177"/>
          <w:sz w:val="24"/>
        </w:rPr>
        <w:t>the</w:t>
      </w:r>
    </w:p>
    <w:p>
      <w:pPr>
        <w:pStyle w:val="BodyText"/>
        <w:tabs>
          <w:tab w:pos="1440" w:val="left" w:leader="none"/>
        </w:tabs>
        <w:ind w:left="720"/>
        <w:jc w:val="both"/>
      </w:pPr>
      <w:r>
        <w:rPr>
          <w:strike/>
          <w:color w:val="623177"/>
        </w:rPr>
        <w:tab/>
        <w:t>University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prior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issuance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  <w:spacing w:val="-2"/>
        </w:rPr>
        <w:t>contract.</w:t>
      </w:r>
    </w:p>
    <w:p>
      <w:pPr>
        <w:pStyle w:val="ListParagraph"/>
        <w:numPr>
          <w:ilvl w:val="2"/>
          <w:numId w:val="2"/>
        </w:numPr>
        <w:tabs>
          <w:tab w:pos="1779" w:val="left" w:leader="none"/>
        </w:tabs>
        <w:spacing w:line="240" w:lineRule="auto" w:before="0" w:after="0"/>
        <w:ind w:left="1440" w:right="717" w:firstLine="0"/>
        <w:jc w:val="both"/>
        <w:rPr>
          <w:color w:val="623177"/>
          <w:sz w:val="24"/>
        </w:rPr>
      </w:pPr>
      <w:r>
        <w:rPr>
          <w:strike/>
          <w:color w:val="623177"/>
          <w:sz w:val="24"/>
        </w:rPr>
        <w:t>The</w:t>
      </w:r>
      <w:r>
        <w:rPr>
          <w:strike/>
          <w:color w:val="623177"/>
          <w:spacing w:val="-3"/>
          <w:sz w:val="24"/>
        </w:rPr>
        <w:t> </w:t>
      </w:r>
      <w:r>
        <w:rPr>
          <w:strike/>
          <w:color w:val="623177"/>
          <w:sz w:val="24"/>
        </w:rPr>
        <w:t>bond</w:t>
      </w:r>
      <w:r>
        <w:rPr>
          <w:strike/>
          <w:color w:val="623177"/>
          <w:spacing w:val="-3"/>
          <w:sz w:val="24"/>
        </w:rPr>
        <w:t> </w:t>
      </w:r>
      <w:r>
        <w:rPr>
          <w:strike/>
          <w:color w:val="623177"/>
          <w:sz w:val="24"/>
        </w:rPr>
        <w:t>or</w:t>
      </w:r>
      <w:r>
        <w:rPr>
          <w:strike/>
          <w:color w:val="623177"/>
          <w:spacing w:val="-3"/>
          <w:sz w:val="24"/>
        </w:rPr>
        <w:t> </w:t>
      </w:r>
      <w:r>
        <w:rPr>
          <w:strike/>
          <w:color w:val="623177"/>
          <w:sz w:val="24"/>
        </w:rPr>
        <w:t>security</w:t>
      </w:r>
      <w:r>
        <w:rPr>
          <w:strike/>
          <w:color w:val="623177"/>
          <w:spacing w:val="-5"/>
          <w:sz w:val="24"/>
        </w:rPr>
        <w:t> </w:t>
      </w:r>
      <w:r>
        <w:rPr>
          <w:strike/>
          <w:color w:val="623177"/>
          <w:sz w:val="24"/>
        </w:rPr>
        <w:t>must</w:t>
      </w:r>
      <w:r>
        <w:rPr>
          <w:strike/>
          <w:color w:val="623177"/>
          <w:spacing w:val="-2"/>
          <w:sz w:val="24"/>
        </w:rPr>
        <w:t> </w:t>
      </w:r>
      <w:r>
        <w:rPr>
          <w:strike/>
          <w:color w:val="623177"/>
          <w:sz w:val="24"/>
        </w:rPr>
        <w:t>be</w:t>
      </w:r>
      <w:r>
        <w:rPr>
          <w:strike/>
          <w:color w:val="623177"/>
          <w:spacing w:val="-3"/>
          <w:sz w:val="24"/>
        </w:rPr>
        <w:t> </w:t>
      </w:r>
      <w:r>
        <w:rPr>
          <w:strike/>
          <w:color w:val="623177"/>
          <w:sz w:val="24"/>
        </w:rPr>
        <w:t>in</w:t>
      </w:r>
      <w:r>
        <w:rPr>
          <w:strike/>
          <w:color w:val="623177"/>
          <w:spacing w:val="-2"/>
          <w:sz w:val="24"/>
        </w:rPr>
        <w:t> </w:t>
      </w:r>
      <w:r>
        <w:rPr>
          <w:strike/>
          <w:color w:val="623177"/>
          <w:sz w:val="24"/>
        </w:rPr>
        <w:t>an</w:t>
      </w:r>
      <w:r>
        <w:rPr>
          <w:strike/>
          <w:color w:val="623177"/>
          <w:spacing w:val="-2"/>
          <w:sz w:val="24"/>
        </w:rPr>
        <w:t> </w:t>
      </w:r>
      <w:r>
        <w:rPr>
          <w:strike/>
          <w:color w:val="623177"/>
          <w:sz w:val="24"/>
        </w:rPr>
        <w:t>amount</w:t>
      </w:r>
      <w:r>
        <w:rPr>
          <w:strike/>
          <w:color w:val="623177"/>
          <w:spacing w:val="-2"/>
          <w:sz w:val="24"/>
        </w:rPr>
        <w:t> </w:t>
      </w:r>
      <w:r>
        <w:rPr>
          <w:strike/>
          <w:color w:val="623177"/>
          <w:sz w:val="24"/>
        </w:rPr>
        <w:t>equal</w:t>
      </w:r>
      <w:r>
        <w:rPr>
          <w:strike/>
          <w:color w:val="623177"/>
          <w:spacing w:val="-2"/>
          <w:sz w:val="24"/>
        </w:rPr>
        <w:t> </w:t>
      </w:r>
      <w:r>
        <w:rPr>
          <w:strike/>
          <w:color w:val="623177"/>
          <w:sz w:val="24"/>
        </w:rPr>
        <w:t>to</w:t>
      </w:r>
      <w:r>
        <w:rPr>
          <w:strike/>
          <w:color w:val="623177"/>
          <w:spacing w:val="-2"/>
          <w:sz w:val="24"/>
        </w:rPr>
        <w:t> </w:t>
      </w:r>
      <w:r>
        <w:rPr>
          <w:strike/>
          <w:color w:val="623177"/>
          <w:sz w:val="24"/>
        </w:rPr>
        <w:t>100%</w:t>
      </w:r>
      <w:r>
        <w:rPr>
          <w:strike/>
          <w:color w:val="623177"/>
          <w:spacing w:val="-3"/>
          <w:sz w:val="24"/>
        </w:rPr>
        <w:t> </w:t>
      </w:r>
      <w:r>
        <w:rPr>
          <w:strike/>
          <w:color w:val="623177"/>
          <w:sz w:val="24"/>
        </w:rPr>
        <w:t>of</w:t>
      </w:r>
      <w:r>
        <w:rPr>
          <w:strike/>
          <w:color w:val="623177"/>
          <w:spacing w:val="-2"/>
          <w:sz w:val="24"/>
        </w:rPr>
        <w:t> </w:t>
      </w:r>
      <w:r>
        <w:rPr>
          <w:strike/>
          <w:color w:val="623177"/>
          <w:sz w:val="24"/>
        </w:rPr>
        <w:t>the amount</w:t>
      </w:r>
      <w:r>
        <w:rPr>
          <w:strike/>
          <w:color w:val="623177"/>
          <w:spacing w:val="-1"/>
          <w:sz w:val="24"/>
        </w:rPr>
        <w:t> </w:t>
      </w:r>
      <w:r>
        <w:rPr>
          <w:strike/>
          <w:color w:val="623177"/>
          <w:sz w:val="24"/>
        </w:rPr>
        <w:t>of</w:t>
      </w:r>
      <w:r>
        <w:rPr>
          <w:strike/>
          <w:color w:val="623177"/>
          <w:spacing w:val="-2"/>
          <w:sz w:val="24"/>
        </w:rPr>
        <w:t> </w:t>
      </w:r>
      <w:r>
        <w:rPr>
          <w:strike/>
          <w:color w:val="623177"/>
          <w:sz w:val="24"/>
        </w:rPr>
        <w:t>the</w:t>
      </w:r>
      <w:r>
        <w:rPr>
          <w:strike w:val="0"/>
          <w:color w:val="623177"/>
          <w:sz w:val="24"/>
        </w:rPr>
        <w:t> </w:t>
      </w:r>
      <w:r>
        <w:rPr>
          <w:strike/>
          <w:color w:val="623177"/>
          <w:sz w:val="24"/>
        </w:rPr>
        <w:t>response submitted to the competitive solicitation.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059" w:val="left" w:leader="none"/>
        </w:tabs>
        <w:spacing w:line="240" w:lineRule="auto" w:before="90" w:after="0"/>
        <w:ind w:left="720" w:right="811" w:firstLine="0"/>
        <w:jc w:val="left"/>
        <w:rPr>
          <w:color w:val="623177"/>
          <w:sz w:val="24"/>
        </w:rPr>
      </w:pPr>
      <w:r>
        <w:rPr/>
        <w:pict>
          <v:rect style="position:absolute;margin-left:90.024002pt;margin-top:40.183159pt;width:414.31pt;height:.599980pt;mso-position-horizontal-relative:page;mso-position-vertical-relative:paragraph;z-index:-15794176" id="docshape9" filled="true" fillcolor="#623177" stroked="false">
            <v:fill type="solid"/>
            <w10:wrap type="none"/>
          </v:rect>
        </w:pict>
      </w:r>
      <w:r>
        <w:rPr/>
        <w:pict>
          <v:rect style="position:absolute;margin-left:90.024002pt;margin-top:81.583160pt;width:412.51pt;height:.599980pt;mso-position-horizontal-relative:page;mso-position-vertical-relative:paragraph;z-index:-15793664" id="docshape10" filled="true" fillcolor="#623177" stroked="false">
            <v:fill type="solid"/>
            <w10:wrap type="none"/>
          </v:rect>
        </w:pict>
      </w:r>
      <w:r>
        <w:rPr/>
        <w:pict>
          <v:rect style="position:absolute;margin-left:90.024002pt;margin-top:95.383156pt;width:412.87pt;height:.599980pt;mso-position-horizontal-relative:page;mso-position-vertical-relative:paragraph;z-index:-15793152" id="docshape11" filled="true" fillcolor="#623177" stroked="false">
            <v:fill type="solid"/>
            <w10:wrap type="none"/>
          </v:rect>
        </w:pict>
      </w:r>
      <w:r>
        <w:rPr/>
        <w:pict>
          <v:rect style="position:absolute;margin-left:90.024002pt;margin-top:109.183159pt;width:414.91pt;height:.599980pt;mso-position-horizontal-relative:page;mso-position-vertical-relative:paragraph;z-index:-15792640" id="docshape12" filled="true" fillcolor="#623177" stroked="false">
            <v:fill type="solid"/>
            <w10:wrap type="none"/>
          </v:rect>
        </w:pict>
      </w:r>
      <w:r>
        <w:rPr/>
        <w:pict>
          <v:rect style="position:absolute;margin-left:54pt;margin-top:4.523137pt;width:.72pt;height:151.82pt;mso-position-horizontal-relative:page;mso-position-vertical-relative:paragraph;z-index:15734784" id="docshape13" filled="true" fillcolor="#000000" stroked="false">
            <v:fill type="solid"/>
            <w10:wrap type="none"/>
          </v:rect>
        </w:pict>
      </w:r>
      <w:r>
        <w:rPr>
          <w:b/>
          <w:strike/>
          <w:color w:val="623177"/>
          <w:sz w:val="24"/>
        </w:rPr>
        <w:t>Solicitation Protest Bond. </w:t>
      </w:r>
      <w:r>
        <w:rPr>
          <w:strike/>
          <w:color w:val="623177"/>
          <w:sz w:val="24"/>
        </w:rPr>
        <w:t>Any entity filing an action protesting a decision or</w:t>
      </w:r>
      <w:r>
        <w:rPr>
          <w:strike w:val="0"/>
          <w:color w:val="623177"/>
          <w:sz w:val="24"/>
        </w:rPr>
        <w:t> </w:t>
      </w:r>
      <w:r>
        <w:rPr>
          <w:strike/>
          <w:color w:val="623177"/>
          <w:sz w:val="24"/>
        </w:rPr>
        <w:t>intended</w:t>
      </w:r>
      <w:r>
        <w:rPr>
          <w:strike/>
          <w:color w:val="623177"/>
          <w:spacing w:val="-3"/>
          <w:sz w:val="24"/>
        </w:rPr>
        <w:t> </w:t>
      </w:r>
      <w:r>
        <w:rPr>
          <w:strike/>
          <w:color w:val="623177"/>
          <w:sz w:val="24"/>
        </w:rPr>
        <w:t>decision</w:t>
      </w:r>
      <w:r>
        <w:rPr>
          <w:strike/>
          <w:color w:val="623177"/>
          <w:spacing w:val="-3"/>
          <w:sz w:val="24"/>
        </w:rPr>
        <w:t> </w:t>
      </w:r>
      <w:r>
        <w:rPr>
          <w:strike/>
          <w:color w:val="623177"/>
          <w:sz w:val="24"/>
        </w:rPr>
        <w:t>pertaining</w:t>
      </w:r>
      <w:r>
        <w:rPr>
          <w:strike/>
          <w:color w:val="623177"/>
          <w:spacing w:val="-6"/>
          <w:sz w:val="24"/>
        </w:rPr>
        <w:t> </w:t>
      </w:r>
      <w:r>
        <w:rPr>
          <w:strike/>
          <w:color w:val="623177"/>
          <w:sz w:val="24"/>
        </w:rPr>
        <w:t>to</w:t>
      </w:r>
      <w:r>
        <w:rPr>
          <w:strike/>
          <w:color w:val="623177"/>
          <w:spacing w:val="-3"/>
          <w:sz w:val="24"/>
        </w:rPr>
        <w:t> </w:t>
      </w:r>
      <w:r>
        <w:rPr>
          <w:strike/>
          <w:color w:val="623177"/>
          <w:sz w:val="24"/>
        </w:rPr>
        <w:t>a</w:t>
      </w:r>
      <w:r>
        <w:rPr>
          <w:strike/>
          <w:color w:val="623177"/>
          <w:spacing w:val="-3"/>
          <w:sz w:val="24"/>
        </w:rPr>
        <w:t> </w:t>
      </w:r>
      <w:r>
        <w:rPr>
          <w:strike/>
          <w:color w:val="623177"/>
          <w:sz w:val="24"/>
        </w:rPr>
        <w:t>competitive</w:t>
      </w:r>
      <w:r>
        <w:rPr>
          <w:strike/>
          <w:color w:val="623177"/>
          <w:spacing w:val="-4"/>
          <w:sz w:val="24"/>
        </w:rPr>
        <w:t> </w:t>
      </w:r>
      <w:r>
        <w:rPr>
          <w:strike/>
          <w:color w:val="623177"/>
          <w:sz w:val="24"/>
        </w:rPr>
        <w:t>solicitation</w:t>
      </w:r>
      <w:r>
        <w:rPr>
          <w:strike/>
          <w:color w:val="623177"/>
          <w:spacing w:val="-3"/>
          <w:sz w:val="24"/>
        </w:rPr>
        <w:t> </w:t>
      </w:r>
      <w:r>
        <w:rPr>
          <w:strike/>
          <w:color w:val="623177"/>
          <w:sz w:val="24"/>
        </w:rPr>
        <w:t>shall,</w:t>
      </w:r>
      <w:r>
        <w:rPr>
          <w:strike/>
          <w:color w:val="623177"/>
          <w:spacing w:val="-3"/>
          <w:sz w:val="24"/>
        </w:rPr>
        <w:t> </w:t>
      </w:r>
      <w:r>
        <w:rPr>
          <w:strike/>
          <w:color w:val="623177"/>
          <w:sz w:val="24"/>
        </w:rPr>
        <w:t>at</w:t>
      </w:r>
      <w:r>
        <w:rPr>
          <w:strike/>
          <w:color w:val="623177"/>
          <w:spacing w:val="-3"/>
          <w:sz w:val="24"/>
        </w:rPr>
        <w:t> </w:t>
      </w:r>
      <w:r>
        <w:rPr>
          <w:strike/>
          <w:color w:val="623177"/>
          <w:sz w:val="24"/>
        </w:rPr>
        <w:t>the</w:t>
      </w:r>
      <w:r>
        <w:rPr>
          <w:strike/>
          <w:color w:val="623177"/>
          <w:spacing w:val="-4"/>
          <w:sz w:val="24"/>
        </w:rPr>
        <w:t> </w:t>
      </w:r>
      <w:r>
        <w:rPr>
          <w:strike/>
          <w:color w:val="623177"/>
          <w:sz w:val="24"/>
        </w:rPr>
        <w:t>time</w:t>
      </w:r>
      <w:r>
        <w:rPr>
          <w:strike/>
          <w:color w:val="623177"/>
          <w:spacing w:val="-3"/>
          <w:sz w:val="24"/>
        </w:rPr>
        <w:t> </w:t>
      </w:r>
      <w:r>
        <w:rPr>
          <w:strike/>
          <w:color w:val="623177"/>
          <w:sz w:val="24"/>
        </w:rPr>
        <w:t>of</w:t>
      </w:r>
      <w:r>
        <w:rPr>
          <w:strike/>
          <w:color w:val="623177"/>
          <w:spacing w:val="-5"/>
          <w:sz w:val="24"/>
        </w:rPr>
        <w:t> </w:t>
      </w:r>
      <w:r>
        <w:rPr>
          <w:strike/>
          <w:color w:val="623177"/>
          <w:sz w:val="24"/>
        </w:rPr>
        <w:t>filing</w:t>
      </w:r>
      <w:r>
        <w:rPr>
          <w:strike/>
          <w:color w:val="623177"/>
          <w:spacing w:val="-6"/>
          <w:sz w:val="24"/>
        </w:rPr>
        <w:t> </w:t>
      </w:r>
      <w:r>
        <w:rPr>
          <w:strike/>
          <w:color w:val="623177"/>
          <w:sz w:val="24"/>
        </w:rPr>
        <w:t>of</w:t>
      </w:r>
      <w:r>
        <w:rPr>
          <w:strike/>
          <w:color w:val="623177"/>
          <w:spacing w:val="-3"/>
          <w:sz w:val="24"/>
        </w:rPr>
        <w:t> </w:t>
      </w:r>
      <w:r>
        <w:rPr>
          <w:strike/>
          <w:color w:val="623177"/>
          <w:sz w:val="24"/>
        </w:rPr>
        <w:t>the</w:t>
      </w:r>
      <w:r>
        <w:rPr>
          <w:strike w:val="0"/>
          <w:color w:val="623177"/>
          <w:sz w:val="24"/>
        </w:rPr>
        <w:t> formal protest, post with the University a bond payable to the University in an amount </w:t>
      </w:r>
      <w:r>
        <w:rPr>
          <w:strike/>
          <w:color w:val="623177"/>
          <w:sz w:val="24"/>
        </w:rPr>
        <w:t>equal to: 10% of the estimated value of the protestor’s bid or proposal; 10% of the</w:t>
      </w:r>
      <w:r>
        <w:rPr>
          <w:strike w:val="0"/>
          <w:color w:val="623177"/>
          <w:sz w:val="24"/>
        </w:rPr>
        <w:t> </w:t>
      </w:r>
      <w:r>
        <w:rPr>
          <w:strike/>
          <w:color w:val="623177"/>
          <w:sz w:val="24"/>
        </w:rPr>
        <w:t>estimated expenditure during the contract term; $10,000; or whichever is less. The bond</w:t>
      </w:r>
      <w:r>
        <w:rPr>
          <w:strike w:val="0"/>
          <w:color w:val="623177"/>
          <w:sz w:val="24"/>
        </w:rPr>
        <w:t> shall be conditioned upon the payment of all costs which may be adjudged against the entity filing the protest action. In lieu of a bond, the University may accept a cashier’s check or money order in the amount of the bond. Failure of the protesting entity to file </w:t>
      </w:r>
      <w:r>
        <w:rPr>
          <w:strike/>
          <w:color w:val="623177"/>
          <w:sz w:val="24"/>
        </w:rPr>
        <w:t>the required bond, cashier’s check, bank official check or money order at the time of</w:t>
      </w:r>
      <w:r>
        <w:rPr>
          <w:strike w:val="0"/>
          <w:color w:val="623177"/>
          <w:sz w:val="24"/>
        </w:rPr>
        <w:t> </w:t>
      </w:r>
      <w:r>
        <w:rPr>
          <w:strike/>
          <w:color w:val="623177"/>
          <w:sz w:val="24"/>
        </w:rPr>
        <w:t>filing the formal protest shall result in a dismissal of the protest.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left="720" w:right="946"/>
      </w:pPr>
      <w:r>
        <w:rPr/>
        <w:t>Authority: Board of Governors Regulation 18.003; History—New: Approved by</w:t>
      </w:r>
      <w:r>
        <w:rPr>
          <w:spacing w:val="-1"/>
        </w:rPr>
        <w:t> </w:t>
      </w:r>
      <w:r>
        <w:rPr/>
        <w:t>the Board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Trustees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October</w:t>
      </w:r>
      <w:r>
        <w:rPr>
          <w:spacing w:val="-3"/>
        </w:rPr>
        <w:t> </w:t>
      </w:r>
      <w:r>
        <w:rPr/>
        <w:t>2,</w:t>
      </w:r>
      <w:r>
        <w:rPr>
          <w:spacing w:val="-3"/>
        </w:rPr>
        <w:t> </w:t>
      </w:r>
      <w:r>
        <w:rPr/>
        <w:t>2008.;</w:t>
      </w:r>
      <w:r>
        <w:rPr>
          <w:spacing w:val="-3"/>
        </w:rPr>
        <w:t> </w:t>
      </w:r>
      <w:r>
        <w:rPr/>
        <w:t>Amended.</w:t>
      </w:r>
      <w:r>
        <w:rPr>
          <w:spacing w:val="-1"/>
        </w:rPr>
        <w:t> </w:t>
      </w:r>
      <w:r>
        <w:rPr/>
        <w:t>Approved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BOT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October</w:t>
      </w:r>
      <w:r>
        <w:rPr>
          <w:spacing w:val="-5"/>
        </w:rPr>
        <w:t> </w:t>
      </w:r>
      <w:r>
        <w:rPr/>
        <w:t>15, </w:t>
      </w:r>
      <w:r>
        <w:rPr>
          <w:spacing w:val="-2"/>
        </w:rPr>
        <w:t>2013.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90"/>
        <w:ind w:left="2"/>
        <w:jc w:val="center"/>
      </w:pPr>
      <w:r>
        <w:rPr/>
        <w:t>2</w:t>
      </w:r>
    </w:p>
    <w:sectPr>
      <w:pgSz w:w="12240" w:h="15840"/>
      <w:pgMar w:top="112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 2">
    <w:altName w:val="Wingdings 2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"/>
      <w:lvlJc w:val="left"/>
      <w:pPr>
        <w:ind w:left="106" w:hanging="288"/>
      </w:pPr>
      <w:rPr>
        <w:rFonts w:hint="default" w:ascii="Wingdings 2" w:hAnsi="Wingdings 2" w:eastAsia="Wingdings 2" w:cs="Wingdings 2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5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0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25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01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76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51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27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02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74" w:hanging="45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720" w:hanging="375"/>
        <w:jc w:val="left"/>
      </w:pPr>
      <w:rPr>
        <w:rFonts w:hint="default"/>
        <w:w w:val="99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440" w:hanging="401"/>
        <w:jc w:val="left"/>
      </w:pPr>
      <w:rPr>
        <w:rFonts w:hint="default"/>
        <w:spacing w:val="-2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0" w:hanging="4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0" w:hanging="4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0" w:hanging="4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0" w:hanging="4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4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40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061" w:hanging="45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72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howell@unf.edu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Client</dc:creator>
  <dc:title>OP-B-2   ISSUANCE OF UNIVERSITY KEYS/ACCESS CONTROL</dc:title>
  <dcterms:created xsi:type="dcterms:W3CDTF">2022-08-02T16:08:47Z</dcterms:created>
  <dcterms:modified xsi:type="dcterms:W3CDTF">2022-08-02T16:08:47Z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2022-08-02T00:00:00Z</vt:filetime>
  </property>
  <property fmtid="{D5CDD505-2E9C-101B-9397-08002B2CF9AE}" pid="5" name="Producer">
    <vt:lpwstr>Microsoft® Word for Office 365</vt:lpwstr>
  </property>
</Properties>
</file>