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099" w:right="3037"/>
        <w:jc w:val="center"/>
      </w:pPr>
      <w:bookmarkStart w:name="NOTICE OF NEW REGULATION" w:id="1"/>
      <w:bookmarkEnd w:id="1"/>
      <w:r>
        <w:rPr>
          <w:b w:val="0"/>
        </w:rPr>
      </w:r>
      <w:r>
        <w:rPr/>
        <w:t>NOTICE</w:t>
      </w:r>
      <w:r>
        <w:rPr>
          <w:spacing w:val="-3"/>
        </w:rPr>
        <w:t> </w:t>
      </w:r>
      <w:r>
        <w:rPr/>
        <w:t>OF NEW</w:t>
      </w:r>
      <w:r>
        <w:rPr>
          <w:spacing w:val="-1"/>
        </w:rPr>
        <w:t> </w:t>
      </w:r>
      <w:r>
        <w:rPr>
          <w:spacing w:val="-2"/>
        </w:rPr>
        <w:t>REGULATION</w:t>
      </w:r>
    </w:p>
    <w:p>
      <w:pPr>
        <w:pStyle w:val="BodyText"/>
        <w:rPr>
          <w:b/>
          <w:sz w:val="24"/>
        </w:rPr>
      </w:pPr>
    </w:p>
    <w:p>
      <w:pPr>
        <w:spacing w:before="0"/>
        <w:ind w:left="3099" w:right="3033" w:firstLine="0"/>
        <w:jc w:val="center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5,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2014</w:t>
      </w:r>
    </w:p>
    <w:p>
      <w:pPr>
        <w:pStyle w:val="BodyText"/>
        <w:rPr>
          <w:b/>
          <w:sz w:val="24"/>
        </w:rPr>
      </w:pPr>
    </w:p>
    <w:p>
      <w:pPr>
        <w:pStyle w:val="Heading1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EDUCATION</w:t>
      </w:r>
    </w:p>
    <w:p>
      <w:pPr>
        <w:spacing w:before="1"/>
        <w:ind w:left="220" w:right="6072" w:firstLine="0"/>
        <w:jc w:val="left"/>
        <w:rPr>
          <w:sz w:val="24"/>
        </w:rPr>
      </w:pPr>
      <w:r>
        <w:rPr>
          <w:sz w:val="24"/>
        </w:rPr>
        <w:t>Division of Universities University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North</w:t>
      </w:r>
      <w:r>
        <w:rPr>
          <w:spacing w:val="-13"/>
          <w:sz w:val="24"/>
        </w:rPr>
        <w:t> </w:t>
      </w:r>
      <w:r>
        <w:rPr>
          <w:sz w:val="24"/>
        </w:rPr>
        <w:t>Florida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REGULATION</w:t>
      </w:r>
      <w:r>
        <w:rPr>
          <w:spacing w:val="-5"/>
        </w:rPr>
        <w:t> </w:t>
      </w:r>
      <w:r>
        <w:rPr>
          <w:spacing w:val="-2"/>
        </w:rPr>
        <w:t>TITLE: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Refund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REGULATION</w:t>
      </w:r>
      <w:r>
        <w:rPr>
          <w:spacing w:val="-3"/>
        </w:rPr>
        <w:t> </w:t>
      </w:r>
      <w:r>
        <w:rPr>
          <w:spacing w:val="-4"/>
        </w:rPr>
        <w:t>NO.: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11.0090R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SUMMARY: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newly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5"/>
          <w:sz w:val="24"/>
        </w:rPr>
        <w:t> </w:t>
      </w:r>
      <w:r>
        <w:rPr>
          <w:sz w:val="24"/>
        </w:rPr>
        <w:t>regulation</w:t>
      </w:r>
      <w:r>
        <w:rPr>
          <w:spacing w:val="-3"/>
          <w:sz w:val="24"/>
        </w:rPr>
        <w:t> </w:t>
      </w:r>
      <w:r>
        <w:rPr>
          <w:sz w:val="24"/>
        </w:rPr>
        <w:t>codifies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statutory,</w:t>
      </w:r>
      <w:r>
        <w:rPr>
          <w:spacing w:val="-3"/>
          <w:sz w:val="24"/>
        </w:rPr>
        <w:t> </w:t>
      </w:r>
      <w:r>
        <w:rPr>
          <w:sz w:val="24"/>
        </w:rPr>
        <w:t>regulatory</w:t>
      </w:r>
      <w:r>
        <w:rPr>
          <w:spacing w:val="-4"/>
          <w:sz w:val="24"/>
        </w:rPr>
        <w:t> </w:t>
      </w:r>
      <w:r>
        <w:rPr>
          <w:sz w:val="24"/>
        </w:rPr>
        <w:t>and internal practiced for tuition refunds.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</w:pPr>
      <w:r>
        <w:rPr/>
        <w:t>FULL</w:t>
      </w:r>
      <w:r>
        <w:rPr>
          <w:spacing w:val="-3"/>
        </w:rPr>
        <w:t> </w:t>
      </w:r>
      <w:r>
        <w:rPr>
          <w:spacing w:val="-2"/>
        </w:rPr>
        <w:t>TEXT:</w:t>
      </w: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text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regulation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attached.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AUTHORITY:</w:t>
      </w:r>
    </w:p>
    <w:p>
      <w:pPr>
        <w:spacing w:before="0"/>
        <w:ind w:left="220" w:right="3775" w:firstLine="0"/>
        <w:jc w:val="left"/>
        <w:rPr>
          <w:sz w:val="24"/>
        </w:rPr>
      </w:pPr>
      <w:r>
        <w:rPr>
          <w:sz w:val="24"/>
        </w:rPr>
        <w:t>Florida</w:t>
      </w:r>
      <w:r>
        <w:rPr>
          <w:spacing w:val="-7"/>
          <w:sz w:val="24"/>
        </w:rPr>
        <w:t> </w:t>
      </w:r>
      <w:r>
        <w:rPr>
          <w:sz w:val="24"/>
        </w:rPr>
        <w:t>Board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Governors</w:t>
      </w:r>
      <w:r>
        <w:rPr>
          <w:spacing w:val="-8"/>
          <w:sz w:val="24"/>
        </w:rPr>
        <w:t> </w:t>
      </w:r>
      <w:r>
        <w:rPr>
          <w:sz w:val="24"/>
        </w:rPr>
        <w:t>Regulation</w:t>
      </w:r>
      <w:r>
        <w:rPr>
          <w:spacing w:val="-7"/>
          <w:sz w:val="24"/>
        </w:rPr>
        <w:t> </w:t>
      </w:r>
      <w:r>
        <w:rPr>
          <w:sz w:val="24"/>
        </w:rPr>
        <w:t>1.001(4) Florida Statutes 1006.63.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</w:pPr>
      <w:r>
        <w:rPr/>
        <w:t>UNIVERSITY</w:t>
      </w:r>
      <w:r>
        <w:rPr>
          <w:spacing w:val="-4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INITIATING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2"/>
        </w:rPr>
        <w:t>REGULATION: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Shari</w:t>
      </w:r>
      <w:r>
        <w:rPr>
          <w:spacing w:val="-4"/>
          <w:sz w:val="24"/>
        </w:rPr>
        <w:t> </w:t>
      </w:r>
      <w:r>
        <w:rPr>
          <w:sz w:val="24"/>
        </w:rPr>
        <w:t>Shuman,</w:t>
      </w:r>
      <w:r>
        <w:rPr>
          <w:spacing w:val="-4"/>
          <w:sz w:val="24"/>
        </w:rPr>
        <w:t> </w:t>
      </w:r>
      <w:r>
        <w:rPr>
          <w:sz w:val="24"/>
        </w:rPr>
        <w:t>Vice</w:t>
      </w:r>
      <w:r>
        <w:rPr>
          <w:spacing w:val="-4"/>
          <w:sz w:val="24"/>
        </w:rPr>
        <w:t> </w:t>
      </w:r>
      <w:r>
        <w:rPr>
          <w:sz w:val="24"/>
        </w:rPr>
        <w:t>President,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Finance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INDIVIDUAL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CONTACTED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REVISED </w:t>
      </w:r>
      <w:r>
        <w:rPr>
          <w:spacing w:val="-2"/>
        </w:rPr>
        <w:t>REGULATION:</w:t>
      </w:r>
    </w:p>
    <w:p>
      <w:pPr>
        <w:spacing w:before="0"/>
        <w:ind w:left="220" w:right="337" w:firstLine="0"/>
        <w:jc w:val="left"/>
        <w:rPr>
          <w:sz w:val="24"/>
        </w:rPr>
      </w:pPr>
      <w:r>
        <w:rPr>
          <w:sz w:val="24"/>
        </w:rPr>
        <w:t>Stephanie Howell, Paralegal, Office of the General Counsel, </w:t>
      </w:r>
      <w:hyperlink r:id="rId6">
        <w:r>
          <w:rPr>
            <w:color w:val="0000FF"/>
            <w:sz w:val="24"/>
            <w:u w:val="single" w:color="0000FF"/>
          </w:rPr>
          <w:t>showell@unf.edu</w:t>
        </w:r>
      </w:hyperlink>
      <w:r>
        <w:rPr>
          <w:sz w:val="24"/>
        </w:rPr>
        <w:t>, phone (904)620-2828;</w:t>
      </w:r>
      <w:r>
        <w:rPr>
          <w:spacing w:val="-6"/>
          <w:sz w:val="24"/>
        </w:rPr>
        <w:t> </w:t>
      </w:r>
      <w:r>
        <w:rPr>
          <w:sz w:val="24"/>
        </w:rPr>
        <w:t>fax</w:t>
      </w:r>
      <w:r>
        <w:rPr>
          <w:spacing w:val="-4"/>
          <w:sz w:val="24"/>
        </w:rPr>
        <w:t> </w:t>
      </w:r>
      <w:r>
        <w:rPr>
          <w:sz w:val="24"/>
        </w:rPr>
        <w:t>(904)620-1044;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2"/>
          <w:sz w:val="24"/>
        </w:rPr>
        <w:t> </w:t>
      </w:r>
      <w:r>
        <w:rPr>
          <w:sz w:val="24"/>
        </w:rPr>
        <w:t>2100,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UNF</w:t>
      </w:r>
      <w:r>
        <w:rPr>
          <w:spacing w:val="-4"/>
          <w:sz w:val="24"/>
        </w:rPr>
        <w:t> </w:t>
      </w:r>
      <w:r>
        <w:rPr>
          <w:sz w:val="24"/>
        </w:rPr>
        <w:t>Drive,</w:t>
      </w:r>
      <w:r>
        <w:rPr>
          <w:spacing w:val="-4"/>
          <w:sz w:val="24"/>
        </w:rPr>
        <w:t> </w:t>
      </w:r>
      <w:r>
        <w:rPr>
          <w:sz w:val="24"/>
        </w:rPr>
        <w:t>Jacksonville,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FL</w:t>
      </w:r>
      <w:r>
        <w:rPr>
          <w:spacing w:val="-2"/>
          <w:sz w:val="24"/>
        </w:rPr>
        <w:t> 32224.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Any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comments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regarding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new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regulation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must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writing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contact</w:t>
      </w:r>
      <w:r>
        <w:rPr>
          <w:b/>
          <w:i/>
          <w:sz w:val="24"/>
        </w:rPr>
        <w:t> person on or before Friday, September 19, 2014, to receive full consideration.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872" w:header="0" w:top="1060" w:bottom="1060" w:left="1220" w:right="1280"/>
          <w:pgNumType w:start="1"/>
        </w:sectPr>
      </w:pPr>
    </w:p>
    <w:p>
      <w:pPr>
        <w:spacing w:before="64"/>
        <w:ind w:left="3094" w:right="3037" w:firstLine="0"/>
        <w:jc w:val="center"/>
        <w:rPr>
          <w:b/>
          <w:sz w:val="32"/>
        </w:rPr>
      </w:pPr>
      <w:bookmarkStart w:name="Policies &amp; Regulations" w:id="2"/>
      <w:bookmarkEnd w:id="2"/>
      <w:r>
        <w:rPr/>
      </w:r>
      <w:r>
        <w:rPr>
          <w:b/>
          <w:sz w:val="32"/>
        </w:rPr>
        <w:t>Policies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&amp;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Regulations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Regulation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Number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> 11.0090R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2979" w:val="left" w:leader="none"/>
        </w:tabs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Effective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2"/>
          <w:sz w:val="24"/>
        </w:rPr>
        <w:t>Date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Revised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4"/>
          <w:sz w:val="24"/>
        </w:rPr>
        <w:t>Date</w:t>
      </w:r>
      <w:r>
        <w:rPr>
          <w:rFonts w:ascii="Times New Roman"/>
          <w:spacing w:val="-4"/>
          <w:sz w:val="24"/>
        </w:rPr>
        <w:t>: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bookmarkStart w:name="Subject: Tuition and Fee Refund" w:id="3"/>
      <w:bookmarkEnd w:id="3"/>
      <w:r>
        <w:rPr/>
      </w:r>
      <w:r>
        <w:rPr>
          <w:rFonts w:ascii="Times New Roman"/>
          <w:b/>
          <w:sz w:val="24"/>
        </w:rPr>
        <w:t>Subject: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Tuition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Fee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2"/>
          <w:sz w:val="24"/>
        </w:rPr>
        <w:t>Refund</w:t>
      </w:r>
    </w:p>
    <w:p>
      <w:pPr>
        <w:pStyle w:val="BodyText"/>
        <w:spacing w:before="10"/>
        <w:rPr>
          <w:rFonts w:ascii="Times New Roman"/>
          <w:b/>
          <w:sz w:val="25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Responsible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Division/Department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Administration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Finance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Check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what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type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Regulation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5"/>
          <w:sz w:val="24"/>
        </w:rPr>
        <w:t>is:</w:t>
      </w:r>
    </w:p>
    <w:p>
      <w:pPr>
        <w:spacing w:before="4"/>
        <w:ind w:left="100" w:right="0" w:firstLine="0"/>
        <w:jc w:val="left"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☒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Regulation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2" w:after="0"/>
        <w:ind w:left="307" w:right="0" w:hanging="2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Revision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Existing </w:t>
      </w:r>
      <w:r>
        <w:rPr>
          <w:rFonts w:ascii="Times New Roman" w:hAnsi="Times New Roman"/>
          <w:spacing w:val="-2"/>
          <w:sz w:val="24"/>
        </w:rPr>
        <w:t>Regulation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0" w:after="0"/>
        <w:ind w:left="307" w:right="0" w:hanging="2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Minor/Technical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Revision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Existing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Regulation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0" w:after="0"/>
        <w:ind w:left="307" w:right="0" w:hanging="2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Reaffirmation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Existing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Regulation</w:t>
      </w: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Heading1"/>
        <w:numPr>
          <w:ilvl w:val="1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360"/>
        <w:jc w:val="left"/>
      </w:pPr>
      <w:bookmarkStart w:name="I. OBJECTIVE &amp; PURPOSE" w:id="4"/>
      <w:bookmarkEnd w:id="4"/>
      <w:r>
        <w:rPr/>
        <w:t>O</w:t>
      </w:r>
      <w:r>
        <w:rPr/>
        <w:t>BJECTIVE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PURPOSE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85" w:lineRule="auto"/>
        <w:ind w:left="940" w:right="224"/>
      </w:pPr>
      <w:r>
        <w:rPr/>
        <w:t>The purpose of this regulation is to set forth the refund procedures as outlined in Board of</w:t>
      </w:r>
      <w:r>
        <w:rPr>
          <w:spacing w:val="-4"/>
        </w:rPr>
        <w:t> </w:t>
      </w:r>
      <w:r>
        <w:rPr/>
        <w:t>Governors</w:t>
      </w:r>
      <w:r>
        <w:rPr>
          <w:spacing w:val="-5"/>
        </w:rPr>
        <w:t> </w:t>
      </w:r>
      <w:r>
        <w:rPr/>
        <w:t>Regulation</w:t>
      </w:r>
      <w:r>
        <w:rPr>
          <w:spacing w:val="-5"/>
        </w:rPr>
        <w:t> </w:t>
      </w:r>
      <w:r>
        <w:rPr/>
        <w:t>7.002</w:t>
      </w:r>
      <w:r>
        <w:rPr>
          <w:spacing w:val="-3"/>
        </w:rPr>
        <w:t> </w:t>
      </w:r>
      <w:r>
        <w:rPr/>
        <w:t>Tuition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Fee</w:t>
      </w:r>
      <w:r>
        <w:rPr>
          <w:spacing w:val="-5"/>
        </w:rPr>
        <w:t> </w:t>
      </w:r>
      <w:r>
        <w:rPr/>
        <w:t>Assessment,</w:t>
      </w:r>
      <w:r>
        <w:rPr>
          <w:spacing w:val="-3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and Remittance. This includes the policy for tuition and related course fees only and does not include fees such as parking, housing, meal plans, etc.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</w:pPr>
      <w:bookmarkStart w:name="II. STATEMENT OF POLICY" w:id="5"/>
      <w:bookmarkEnd w:id="5"/>
      <w:r>
        <w:rPr/>
        <w:t>S</w:t>
      </w:r>
      <w:r>
        <w:rPr/>
        <w:t>TATEMENT OF</w:t>
      </w:r>
      <w:r>
        <w:rPr>
          <w:spacing w:val="-4"/>
        </w:rPr>
        <w:t> </w:t>
      </w:r>
      <w:r>
        <w:rPr>
          <w:spacing w:val="-2"/>
        </w:rPr>
        <w:t>POLICY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300" w:val="left" w:leader="none"/>
        </w:tabs>
        <w:spacing w:line="240" w:lineRule="auto" w:before="0" w:after="0"/>
        <w:ind w:left="1300" w:right="238" w:hanging="360"/>
        <w:jc w:val="left"/>
        <w:rPr>
          <w:sz w:val="22"/>
        </w:rPr>
      </w:pPr>
      <w:r>
        <w:rPr/>
        <w:pict>
          <v:rect style="position:absolute;margin-left:400.559998pt;margin-top:11.516883pt;width:3pt;height:.841pt;mso-position-horizontal-relative:page;mso-position-vertical-relative:paragraph;z-index:-15794688" id="docshape2" filled="true" fillcolor="#0000ff" stroked="false">
            <v:fill type="solid"/>
            <w10:wrap type="none"/>
          </v:rect>
        </w:pict>
      </w:r>
      <w:r>
        <w:rPr>
          <w:sz w:val="22"/>
        </w:rPr>
        <w:t>The University’s fee refund procedures can be viewed at </w:t>
      </w:r>
      <w:hyperlink r:id="rId7">
        <w:r>
          <w:rPr>
            <w:color w:val="0000FF"/>
            <w:spacing w:val="-2"/>
            <w:sz w:val="22"/>
            <w:u w:val="single" w:color="0000FF"/>
          </w:rPr>
          <w:t>http://www.unf.edu/controller/cashiers/Procedures/Fee_Refunds_and_Petitions.aspx</w:t>
        </w:r>
      </w:hyperlink>
      <w:r>
        <w:rPr>
          <w:spacing w:val="-2"/>
          <w:sz w:val="22"/>
        </w:rPr>
        <w:t>. </w:t>
      </w:r>
      <w:r>
        <w:rPr>
          <w:sz w:val="22"/>
        </w:rPr>
        <w:t>Refunds of 100 percent will be issued for each course dropped before the close of the add/drop period indicated in the University’s Academic Calendar. Students can drop</w:t>
      </w:r>
      <w:r>
        <w:rPr>
          <w:spacing w:val="-1"/>
          <w:sz w:val="22"/>
        </w:rPr>
        <w:t> </w:t>
      </w:r>
      <w:r>
        <w:rPr>
          <w:sz w:val="22"/>
        </w:rPr>
        <w:t>courses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person,</w:t>
      </w:r>
      <w:r>
        <w:rPr>
          <w:spacing w:val="-4"/>
          <w:sz w:val="22"/>
        </w:rPr>
        <w:t> </w:t>
      </w:r>
      <w:r>
        <w:rPr>
          <w:sz w:val="22"/>
        </w:rPr>
        <w:t>or online</w:t>
      </w:r>
      <w:r>
        <w:rPr>
          <w:spacing w:val="-1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myWings Web</w:t>
      </w:r>
      <w:r>
        <w:rPr>
          <w:spacing w:val="-3"/>
          <w:sz w:val="22"/>
        </w:rPr>
        <w:t> </w:t>
      </w:r>
      <w:r>
        <w:rPr>
          <w:sz w:val="22"/>
        </w:rPr>
        <w:t>portal. A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1"/>
          <w:sz w:val="22"/>
        </w:rPr>
        <w:t> </w:t>
      </w:r>
      <w:r>
        <w:rPr>
          <w:sz w:val="22"/>
        </w:rPr>
        <w:t>percent</w:t>
      </w:r>
      <w:r>
        <w:rPr>
          <w:spacing w:val="-2"/>
          <w:sz w:val="22"/>
        </w:rPr>
        <w:t> </w:t>
      </w:r>
      <w:r>
        <w:rPr>
          <w:sz w:val="22"/>
        </w:rPr>
        <w:t>refund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cancellation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courses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denial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student’s</w:t>
      </w:r>
      <w:r>
        <w:rPr>
          <w:spacing w:val="-6"/>
          <w:sz w:val="22"/>
        </w:rPr>
        <w:t> </w:t>
      </w:r>
      <w:r>
        <w:rPr>
          <w:sz w:val="22"/>
        </w:rPr>
        <w:t>admission to a course. Courses dropped within this period will not appear on the student’s </w:t>
      </w:r>
      <w:r>
        <w:rPr>
          <w:spacing w:val="-2"/>
          <w:sz w:val="22"/>
        </w:rPr>
        <w:t>transcript.</w:t>
      </w:r>
    </w:p>
    <w:p>
      <w:pPr>
        <w:pStyle w:val="BodyText"/>
      </w:pPr>
    </w:p>
    <w:p>
      <w:pPr>
        <w:pStyle w:val="BodyText"/>
        <w:spacing w:before="1"/>
        <w:ind w:left="1300" w:right="157"/>
      </w:pPr>
      <w:r>
        <w:rPr/>
        <w:t>After the close of the add/drop period, students who completely withdraw from the University will receive a 25 percent refund. This refund is dependent on the University’s approval of a student’s recorded withdrawal from the University. Such notice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student’s</w:t>
      </w:r>
      <w:r>
        <w:rPr>
          <w:spacing w:val="-5"/>
        </w:rPr>
        <w:t> </w:t>
      </w:r>
      <w:r>
        <w:rPr/>
        <w:t>account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MyWings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3"/>
        </w:rPr>
        <w:t> </w:t>
      </w:r>
      <w:r>
        <w:rPr/>
        <w:t>indicated in the University’s Academic Calendar as</w:t>
      </w:r>
      <w:r>
        <w:rPr>
          <w:spacing w:val="-2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day to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 25</w:t>
      </w:r>
      <w:r>
        <w:rPr>
          <w:spacing w:val="-2"/>
        </w:rPr>
        <w:t> </w:t>
      </w:r>
      <w:r>
        <w:rPr/>
        <w:t>percent</w:t>
      </w:r>
      <w:r>
        <w:rPr>
          <w:spacing w:val="-1"/>
        </w:rPr>
        <w:t> </w:t>
      </w:r>
      <w:r>
        <w:rPr/>
        <w:t>refund; however, written, email notice of withdrawal via the student’s UNF email may be given by the 25 percent refund deadline. This 25 percent refund applies only to fall, spring, and cross-term summer. There is no refund for a partial withdrawal after the add/drop period.</w:t>
      </w:r>
    </w:p>
    <w:p>
      <w:pPr>
        <w:pStyle w:val="BodyText"/>
        <w:spacing w:before="1"/>
      </w:pPr>
    </w:p>
    <w:p>
      <w:pPr>
        <w:pStyle w:val="BodyText"/>
        <w:ind w:left="1299"/>
      </w:pPr>
      <w:r>
        <w:rPr/>
        <w:t>Refunds</w:t>
      </w:r>
      <w:r>
        <w:rPr>
          <w:spacing w:val="-1"/>
        </w:rPr>
        <w:t> </w:t>
      </w:r>
      <w:r>
        <w:rPr/>
        <w:t>of 100</w:t>
      </w:r>
      <w:r>
        <w:rPr>
          <w:spacing w:val="-4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tuition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granted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instances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university under the following conditions. Written explanation and supporting documentation is required to be submitted to the appropriate University Office: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7" w:lineRule="exact" w:before="0" w:after="0"/>
        <w:ind w:left="2019" w:right="0" w:hanging="361"/>
        <w:jc w:val="left"/>
        <w:rPr>
          <w:sz w:val="22"/>
        </w:rPr>
      </w:pPr>
      <w:r>
        <w:rPr>
          <w:sz w:val="22"/>
        </w:rPr>
        <w:t>Student’s</w:t>
      </w:r>
      <w:r>
        <w:rPr>
          <w:spacing w:val="-4"/>
          <w:sz w:val="22"/>
        </w:rPr>
        <w:t> </w:t>
      </w:r>
      <w:r>
        <w:rPr>
          <w:sz w:val="22"/>
        </w:rPr>
        <w:t>involuntary</w:t>
      </w:r>
      <w:r>
        <w:rPr>
          <w:spacing w:val="-7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active</w:t>
      </w:r>
      <w:r>
        <w:rPr>
          <w:spacing w:val="-6"/>
          <w:sz w:val="22"/>
        </w:rPr>
        <w:t> </w:t>
      </w:r>
      <w:r>
        <w:rPr>
          <w:sz w:val="22"/>
        </w:rPr>
        <w:t>military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duty.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4" w:after="0"/>
        <w:ind w:left="2019" w:right="343" w:hanging="360"/>
        <w:jc w:val="left"/>
        <w:rPr>
          <w:sz w:val="22"/>
        </w:rPr>
      </w:pP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student’s</w:t>
      </w:r>
      <w:r>
        <w:rPr>
          <w:spacing w:val="-4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(parent, spouse, child, sibling, grandparents).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0" w:after="0"/>
        <w:ind w:left="2019" w:right="0" w:hanging="361"/>
        <w:jc w:val="left"/>
        <w:rPr>
          <w:sz w:val="22"/>
        </w:rPr>
      </w:pPr>
      <w:r>
        <w:rPr>
          <w:sz w:val="22"/>
        </w:rPr>
        <w:t>Incapacitating</w:t>
      </w:r>
      <w:r>
        <w:rPr>
          <w:spacing w:val="-10"/>
          <w:sz w:val="22"/>
        </w:rPr>
        <w:t> </w:t>
      </w:r>
      <w:r>
        <w:rPr>
          <w:sz w:val="22"/>
        </w:rPr>
        <w:t>illness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duration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severity,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confirmed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3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72" w:top="500" w:bottom="1060" w:left="1220" w:right="1280"/>
        </w:sectPr>
      </w:pPr>
    </w:p>
    <w:p>
      <w:pPr>
        <w:pStyle w:val="BodyText"/>
        <w:spacing w:before="79"/>
        <w:ind w:left="2020"/>
      </w:pPr>
      <w:r>
        <w:rPr/>
        <w:t>physician,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term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impossible.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1" w:after="0"/>
        <w:ind w:left="20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situation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error.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74" w:after="0"/>
        <w:ind w:left="2019" w:right="281" w:hanging="360"/>
        <w:jc w:val="left"/>
        <w:rPr>
          <w:sz w:val="22"/>
        </w:rPr>
      </w:pPr>
      <w:r>
        <w:rPr>
          <w:sz w:val="22"/>
        </w:rPr>
        <w:t>Other documented exceptional circumstance beyond the control of the student</w:t>
      </w:r>
      <w:r>
        <w:rPr>
          <w:spacing w:val="-8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precluded</w:t>
      </w:r>
      <w:r>
        <w:rPr>
          <w:spacing w:val="-7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course(s)</w:t>
      </w:r>
      <w:r>
        <w:rPr>
          <w:spacing w:val="-8"/>
          <w:sz w:val="22"/>
        </w:rPr>
        <w:t> </w:t>
      </w:r>
      <w:r>
        <w:rPr>
          <w:sz w:val="22"/>
        </w:rPr>
        <w:t>accompanied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3"/>
          <w:sz w:val="22"/>
        </w:rPr>
        <w:t> </w:t>
      </w:r>
      <w:r>
        <w:rPr>
          <w:sz w:val="22"/>
        </w:rPr>
        <w:t>supporting </w:t>
      </w:r>
      <w:r>
        <w:rPr>
          <w:spacing w:val="-2"/>
          <w:sz w:val="22"/>
        </w:rPr>
        <w:t>documentation.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300" w:val="left" w:leader="none"/>
        </w:tabs>
        <w:spacing w:line="240" w:lineRule="auto" w:before="0" w:after="0"/>
        <w:ind w:left="1299" w:right="183" w:hanging="360"/>
        <w:jc w:val="left"/>
        <w:rPr>
          <w:sz w:val="22"/>
        </w:rPr>
      </w:pPr>
      <w:r>
        <w:rPr>
          <w:sz w:val="22"/>
        </w:rPr>
        <w:t>Fee petitions: Students or someone acting on the student's behalf with written authorization</w:t>
      </w:r>
      <w:r>
        <w:rPr>
          <w:spacing w:val="-1"/>
          <w:sz w:val="22"/>
        </w:rPr>
        <w:t> </w:t>
      </w:r>
      <w:r>
        <w:rPr>
          <w:sz w:val="22"/>
        </w:rPr>
        <w:t>must file within six</w:t>
      </w:r>
      <w:r>
        <w:rPr>
          <w:spacing w:val="-1"/>
          <w:sz w:val="22"/>
        </w:rPr>
        <w:t> </w:t>
      </w:r>
      <w:r>
        <w:rPr>
          <w:sz w:val="22"/>
        </w:rPr>
        <w:t>(6) months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close of the semester to</w:t>
      </w:r>
      <w:r>
        <w:rPr>
          <w:spacing w:val="-1"/>
          <w:sz w:val="22"/>
        </w:rPr>
        <w:t> </w:t>
      </w:r>
      <w:r>
        <w:rPr>
          <w:sz w:val="22"/>
        </w:rPr>
        <w:t>which the refund or action is applicable. Special requests for an extension of the six (6) month deadline must include specific facts indicating special circumstances which (i) were beyond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(ii)</w:t>
      </w:r>
      <w:r>
        <w:rPr>
          <w:spacing w:val="-1"/>
          <w:sz w:val="22"/>
        </w:rPr>
        <w:t> </w:t>
      </w:r>
      <w:r>
        <w:rPr>
          <w:sz w:val="22"/>
        </w:rPr>
        <w:t>clearly</w:t>
      </w:r>
      <w:r>
        <w:rPr>
          <w:spacing w:val="-5"/>
          <w:sz w:val="22"/>
        </w:rPr>
        <w:t> </w:t>
      </w:r>
      <w:r>
        <w:rPr>
          <w:sz w:val="22"/>
        </w:rPr>
        <w:t>impaired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student’s</w:t>
      </w:r>
      <w:r>
        <w:rPr>
          <w:spacing w:val="-2"/>
          <w:sz w:val="22"/>
        </w:rPr>
        <w:t> </w:t>
      </w:r>
      <w:r>
        <w:rPr>
          <w:sz w:val="22"/>
        </w:rPr>
        <w:t>physical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mental ability to correct their academic/financial record at the University (iii) are supported</w:t>
      </w:r>
      <w:r>
        <w:rPr>
          <w:spacing w:val="40"/>
          <w:sz w:val="22"/>
        </w:rPr>
        <w:t> </w:t>
      </w:r>
      <w:r>
        <w:rPr>
          <w:sz w:val="22"/>
        </w:rPr>
        <w:t>by written explanation and verifiable documentation. Petitioning for a refund is not a guarantee that a refund will be approved. Tuition fee refunds provided to students</w:t>
      </w:r>
      <w:r>
        <w:rPr>
          <w:spacing w:val="40"/>
          <w:sz w:val="22"/>
        </w:rPr>
        <w:t> </w:t>
      </w:r>
      <w:r>
        <w:rPr>
          <w:sz w:val="22"/>
        </w:rPr>
        <w:t>will be processed against any outstanding tuition assessments prior to remitting a refund to the student.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0" w:after="0"/>
        <w:ind w:left="1300" w:right="244" w:hanging="361"/>
        <w:jc w:val="left"/>
        <w:rPr>
          <w:sz w:val="22"/>
        </w:rPr>
      </w:pPr>
      <w:r>
        <w:rPr>
          <w:sz w:val="22"/>
        </w:rPr>
        <w:t>The fees listed below may only be waived for certain reason such as documented University error, documented administrative error, or documented extraordinary circumstance, such as a severe illness, a death in the family or natural disaster. Additionally, supporting documentation is required and tuition must be paid prior to submitting a request to waive a late payment fee. The late payment fee will not be waived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to:</w:t>
      </w:r>
      <w:r>
        <w:rPr>
          <w:spacing w:val="-2"/>
          <w:sz w:val="22"/>
        </w:rPr>
        <w:t> </w:t>
      </w:r>
      <w:r>
        <w:rPr>
          <w:sz w:val="22"/>
        </w:rPr>
        <w:t>lack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funds,</w:t>
      </w:r>
      <w:r>
        <w:rPr>
          <w:spacing w:val="-2"/>
          <w:sz w:val="22"/>
        </w:rPr>
        <w:t> </w:t>
      </w:r>
      <w:r>
        <w:rPr>
          <w:sz w:val="22"/>
        </w:rPr>
        <w:t>unawareness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deadlines,</w:t>
      </w:r>
      <w:r>
        <w:rPr>
          <w:spacing w:val="-2"/>
          <w:sz w:val="22"/>
        </w:rPr>
        <w:t> </w:t>
      </w:r>
      <w:r>
        <w:rPr>
          <w:sz w:val="22"/>
        </w:rPr>
        <w:t>unawareness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acceptable payment types, or Internet connectivity issues.</w:t>
      </w:r>
    </w:p>
    <w:p>
      <w:pPr>
        <w:pStyle w:val="ListParagraph"/>
        <w:numPr>
          <w:ilvl w:val="3"/>
          <w:numId w:val="1"/>
        </w:numPr>
        <w:tabs>
          <w:tab w:pos="2021" w:val="left" w:leader="none"/>
        </w:tabs>
        <w:spacing w:line="248" w:lineRule="exact" w:before="0" w:after="0"/>
        <w:ind w:left="2020" w:right="0" w:hanging="361"/>
        <w:jc w:val="left"/>
        <w:rPr>
          <w:sz w:val="22"/>
        </w:rPr>
      </w:pPr>
      <w:r>
        <w:rPr>
          <w:sz w:val="22"/>
        </w:rPr>
        <w:t>Repeat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Surcharge.</w:t>
      </w:r>
    </w:p>
    <w:p>
      <w:pPr>
        <w:pStyle w:val="ListParagraph"/>
        <w:numPr>
          <w:ilvl w:val="3"/>
          <w:numId w:val="1"/>
        </w:numPr>
        <w:tabs>
          <w:tab w:pos="2021" w:val="left" w:leader="none"/>
        </w:tabs>
        <w:spacing w:line="252" w:lineRule="exact" w:before="0" w:after="0"/>
        <w:ind w:left="2020" w:right="0" w:hanging="361"/>
        <w:jc w:val="left"/>
        <w:rPr>
          <w:sz w:val="22"/>
        </w:rPr>
      </w:pPr>
      <w:r>
        <w:rPr>
          <w:sz w:val="22"/>
        </w:rPr>
        <w:t>Excess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Fee.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6" w:after="0"/>
        <w:ind w:left="2019" w:right="331" w:hanging="360"/>
        <w:jc w:val="left"/>
        <w:rPr>
          <w:sz w:val="22"/>
        </w:rPr>
      </w:pPr>
      <w:r>
        <w:rPr>
          <w:sz w:val="22"/>
        </w:rPr>
        <w:t>Miscellaneous</w:t>
      </w:r>
      <w:r>
        <w:rPr>
          <w:spacing w:val="-2"/>
          <w:sz w:val="22"/>
        </w:rPr>
        <w:t> </w:t>
      </w:r>
      <w:r>
        <w:rPr>
          <w:sz w:val="22"/>
        </w:rPr>
        <w:t>fees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Orientation,</w:t>
      </w:r>
      <w:r>
        <w:rPr>
          <w:spacing w:val="-4"/>
          <w:sz w:val="22"/>
        </w:rPr>
        <w:t> </w:t>
      </w:r>
      <w:r>
        <w:rPr>
          <w:sz w:val="22"/>
        </w:rPr>
        <w:t>ID,</w:t>
      </w:r>
      <w:r>
        <w:rPr>
          <w:spacing w:val="-4"/>
          <w:sz w:val="22"/>
        </w:rPr>
        <w:t> </w:t>
      </w:r>
      <w:r>
        <w:rPr>
          <w:sz w:val="22"/>
        </w:rPr>
        <w:t>WOW,</w:t>
      </w:r>
      <w:r>
        <w:rPr>
          <w:spacing w:val="-3"/>
          <w:sz w:val="22"/>
        </w:rPr>
        <w:t> </w:t>
      </w:r>
      <w:r>
        <w:rPr>
          <w:sz w:val="22"/>
        </w:rPr>
        <w:t>A&amp;S</w:t>
      </w:r>
      <w:r>
        <w:rPr>
          <w:spacing w:val="-3"/>
          <w:sz w:val="22"/>
        </w:rPr>
        <w:t> </w:t>
      </w:r>
      <w:r>
        <w:rPr>
          <w:sz w:val="22"/>
        </w:rPr>
        <w:t>fees,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5"/>
          <w:sz w:val="22"/>
        </w:rPr>
        <w:t> </w:t>
      </w:r>
      <w:r>
        <w:rPr>
          <w:sz w:val="22"/>
        </w:rPr>
        <w:t>Check Fees, etc.</w:t>
      </w:r>
    </w:p>
    <w:p>
      <w:pPr>
        <w:pStyle w:val="ListParagraph"/>
        <w:numPr>
          <w:ilvl w:val="3"/>
          <w:numId w:val="1"/>
        </w:numPr>
        <w:tabs>
          <w:tab w:pos="2020" w:val="left" w:leader="none"/>
        </w:tabs>
        <w:spacing w:line="240" w:lineRule="auto" w:before="1" w:after="0"/>
        <w:ind w:left="2019" w:right="0" w:hanging="360"/>
        <w:jc w:val="left"/>
        <w:rPr>
          <w:sz w:val="22"/>
        </w:rPr>
      </w:pPr>
      <w:r>
        <w:rPr>
          <w:sz w:val="22"/>
        </w:rPr>
        <w:t>Late</w:t>
      </w:r>
      <w:r>
        <w:rPr>
          <w:spacing w:val="-9"/>
          <w:sz w:val="22"/>
        </w:rPr>
        <w:t> </w:t>
      </w:r>
      <w:r>
        <w:rPr>
          <w:sz w:val="22"/>
        </w:rPr>
        <w:t>payment,</w:t>
      </w:r>
      <w:r>
        <w:rPr>
          <w:spacing w:val="-7"/>
          <w:sz w:val="22"/>
        </w:rPr>
        <w:t> </w:t>
      </w:r>
      <w:r>
        <w:rPr>
          <w:sz w:val="22"/>
        </w:rPr>
        <w:t>late</w:t>
      </w:r>
      <w:r>
        <w:rPr>
          <w:spacing w:val="-9"/>
          <w:sz w:val="22"/>
        </w:rPr>
        <w:t> </w:t>
      </w:r>
      <w:r>
        <w:rPr>
          <w:sz w:val="22"/>
        </w:rPr>
        <w:t>registration,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re-registration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fees.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20" w:right="0" w:firstLine="0"/>
        <w:jc w:val="left"/>
        <w:rPr>
          <w:i/>
          <w:sz w:val="22"/>
        </w:rPr>
      </w:pPr>
      <w:r>
        <w:rPr>
          <w:i/>
          <w:sz w:val="22"/>
        </w:rPr>
        <w:t>Authority: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Board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Governors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Regulation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7.002</w:t>
      </w:r>
    </w:p>
    <w:sectPr>
      <w:pgSz w:w="12240" w:h="15840"/>
      <w:pgMar w:header="0" w:footer="872" w:top="420" w:bottom="110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pt;margin-top:735.906616pt;width:13pt;height:15.3pt;mso-position-horizontal-relative:page;mso-position-vertical-relative:page;z-index:-1579468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07" w:hanging="20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940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1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1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howell@unf.edu" TargetMode="External"/><Relationship Id="rId7" Type="http://schemas.openxmlformats.org/officeDocument/2006/relationships/hyperlink" Target="http://www.unf.edu/controller/cashiers/Procedures/Fee_Refunds_and_Petitions.aspx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terms:created xsi:type="dcterms:W3CDTF">2022-08-01T14:51:03Z</dcterms:created>
  <dcterms:modified xsi:type="dcterms:W3CDTF">2022-08-01T14:51:03Z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  <property fmtid="{D5CDD505-2E9C-101B-9397-08002B2CF9AE}" pid="3" name="Created">
    <vt:filetime>2021-12-08T00:00:00Z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2022-08-01T00:00:00Z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D:20211208173528</vt:lpwstr>
  </property>
</Properties>
</file>