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BC" w:rsidRPr="00834923" w:rsidRDefault="001C5CBC">
      <w:pPr>
        <w:pStyle w:val="BodyText"/>
        <w:spacing w:before="3"/>
        <w:ind w:left="0"/>
        <w:rPr>
          <w:rFonts w:ascii="Times New Roman"/>
          <w:sz w:val="19"/>
        </w:rPr>
      </w:pPr>
    </w:p>
    <w:p w:rsidR="001C5CBC" w:rsidRPr="00834923" w:rsidRDefault="00834923">
      <w:pPr>
        <w:pStyle w:val="Heading1"/>
        <w:spacing w:before="94"/>
        <w:ind w:left="3652" w:right="3653"/>
        <w:jc w:val="center"/>
      </w:pPr>
      <w:r w:rsidRPr="00834923">
        <w:t>NOTICE OF NEW REGULATION</w:t>
      </w:r>
    </w:p>
    <w:p w:rsidR="001C5CBC" w:rsidRPr="00834923" w:rsidRDefault="001C5CBC">
      <w:pPr>
        <w:pStyle w:val="BodyText"/>
        <w:ind w:left="0"/>
        <w:rPr>
          <w:b/>
        </w:rPr>
      </w:pPr>
    </w:p>
    <w:p w:rsidR="001C5CBC" w:rsidRPr="00834923" w:rsidRDefault="00834923">
      <w:pPr>
        <w:ind w:left="3654" w:right="3653"/>
        <w:jc w:val="center"/>
        <w:rPr>
          <w:b/>
        </w:rPr>
      </w:pPr>
      <w:r w:rsidRPr="00834923">
        <w:rPr>
          <w:b/>
        </w:rPr>
        <w:t>September 11, 2013</w:t>
      </w:r>
    </w:p>
    <w:p w:rsidR="001C5CBC" w:rsidRPr="00834923" w:rsidRDefault="001C5CBC">
      <w:pPr>
        <w:pStyle w:val="BodyText"/>
        <w:spacing w:before="1"/>
        <w:ind w:left="0"/>
        <w:rPr>
          <w:b/>
        </w:rPr>
      </w:pPr>
    </w:p>
    <w:p w:rsidR="001C5CBC" w:rsidRPr="00834923" w:rsidRDefault="00834923">
      <w:pPr>
        <w:ind w:left="840"/>
        <w:rPr>
          <w:b/>
        </w:rPr>
      </w:pPr>
      <w:r w:rsidRPr="00834923">
        <w:rPr>
          <w:b/>
        </w:rPr>
        <w:t>DEPARTMENT OF EDUCATION</w:t>
      </w:r>
    </w:p>
    <w:p w:rsidR="001C5CBC" w:rsidRPr="00834923" w:rsidRDefault="00834923">
      <w:pPr>
        <w:pStyle w:val="BodyText"/>
        <w:spacing w:before="1"/>
        <w:ind w:right="7837"/>
      </w:pPr>
      <w:r w:rsidRPr="00834923">
        <w:t>Division of Universities University of North Florida</w:t>
      </w:r>
    </w:p>
    <w:p w:rsidR="001C5CBC" w:rsidRPr="00834923" w:rsidRDefault="001C5CBC">
      <w:pPr>
        <w:pStyle w:val="BodyText"/>
        <w:spacing w:before="9"/>
        <w:ind w:left="0"/>
        <w:rPr>
          <w:sz w:val="21"/>
        </w:rPr>
      </w:pPr>
    </w:p>
    <w:p w:rsidR="001C5CBC" w:rsidRPr="00834923" w:rsidRDefault="00834923" w:rsidP="00834923">
      <w:pPr>
        <w:ind w:left="720" w:firstLine="120"/>
        <w:rPr>
          <w:b/>
        </w:rPr>
      </w:pPr>
      <w:r w:rsidRPr="00834923">
        <w:rPr>
          <w:b/>
        </w:rPr>
        <w:t>REGULATION TITLE:</w:t>
      </w:r>
    </w:p>
    <w:p w:rsidR="001C5CBC" w:rsidRPr="00834923" w:rsidRDefault="00834923">
      <w:pPr>
        <w:pStyle w:val="BodyText"/>
        <w:spacing w:before="4"/>
      </w:pPr>
      <w:r w:rsidRPr="00834923">
        <w:t>Purchasing</w:t>
      </w:r>
      <w:r w:rsidRPr="00834923">
        <w:rPr>
          <w:spacing w:val="-1"/>
        </w:rPr>
        <w:t xml:space="preserve"> </w:t>
      </w:r>
      <w:r w:rsidRPr="00834923">
        <w:t>Program</w:t>
      </w:r>
    </w:p>
    <w:p w:rsidR="001C5CBC" w:rsidRPr="00834923" w:rsidRDefault="001C5CBC">
      <w:pPr>
        <w:pStyle w:val="BodyText"/>
        <w:spacing w:before="7"/>
        <w:ind w:left="0"/>
        <w:rPr>
          <w:sz w:val="21"/>
        </w:rPr>
      </w:pPr>
    </w:p>
    <w:p w:rsidR="001C5CBC" w:rsidRPr="00834923" w:rsidRDefault="00834923" w:rsidP="00834923">
      <w:pPr>
        <w:ind w:left="840"/>
        <w:rPr>
          <w:b/>
        </w:rPr>
      </w:pPr>
      <w:r w:rsidRPr="00834923">
        <w:rPr>
          <w:b/>
        </w:rPr>
        <w:t>REGULATION</w:t>
      </w:r>
      <w:r w:rsidRPr="00834923">
        <w:rPr>
          <w:b/>
          <w:spacing w:val="-7"/>
        </w:rPr>
        <w:t xml:space="preserve"> </w:t>
      </w:r>
      <w:r w:rsidRPr="00834923">
        <w:rPr>
          <w:b/>
        </w:rPr>
        <w:t>NO.:</w:t>
      </w:r>
    </w:p>
    <w:p w:rsidR="001C5CBC" w:rsidRPr="00834923" w:rsidRDefault="00834923">
      <w:pPr>
        <w:pStyle w:val="BodyText"/>
        <w:spacing w:before="4"/>
      </w:pPr>
      <w:r w:rsidRPr="00834923">
        <w:t>13.0010iR</w:t>
      </w:r>
    </w:p>
    <w:p w:rsidR="001C5CBC" w:rsidRPr="00834923" w:rsidRDefault="001C5CBC">
      <w:pPr>
        <w:pStyle w:val="BodyText"/>
        <w:spacing w:before="10"/>
        <w:ind w:left="0"/>
        <w:rPr>
          <w:sz w:val="21"/>
        </w:rPr>
      </w:pPr>
    </w:p>
    <w:p w:rsidR="001C5CBC" w:rsidRPr="00834923" w:rsidRDefault="00834923" w:rsidP="00834923">
      <w:pPr>
        <w:ind w:left="840"/>
        <w:rPr>
          <w:b/>
        </w:rPr>
      </w:pPr>
      <w:r w:rsidRPr="00834923">
        <w:rPr>
          <w:b/>
        </w:rPr>
        <w:t>SUMMARY:</w:t>
      </w:r>
    </w:p>
    <w:p w:rsidR="001C5CBC" w:rsidRPr="00834923" w:rsidRDefault="00834923">
      <w:pPr>
        <w:pStyle w:val="BodyText"/>
        <w:spacing w:before="1" w:line="276" w:lineRule="auto"/>
        <w:ind w:right="1033"/>
      </w:pPr>
      <w:r w:rsidRPr="00834923">
        <w:t>The new regulation sets forth Competitive Solicitation Threshold of no greater than $75,000 (UNF’s prior regulation was no greater than $50,000). The new regulation also includes the language of granting preferences for Florida-Based Vendor when awarding o</w:t>
      </w:r>
      <w:r w:rsidRPr="00834923">
        <w:t>f contracts by competitive solicitation for personal property and printing.</w:t>
      </w:r>
    </w:p>
    <w:p w:rsidR="001C5CBC" w:rsidRPr="00834923" w:rsidRDefault="001C5CBC">
      <w:pPr>
        <w:pStyle w:val="BodyText"/>
        <w:ind w:left="0"/>
        <w:rPr>
          <w:sz w:val="24"/>
        </w:rPr>
      </w:pPr>
    </w:p>
    <w:p w:rsidR="001C5CBC" w:rsidRPr="00834923" w:rsidRDefault="00834923" w:rsidP="00834923">
      <w:pPr>
        <w:ind w:left="840"/>
        <w:rPr>
          <w:b/>
        </w:rPr>
      </w:pPr>
      <w:r w:rsidRPr="00834923">
        <w:rPr>
          <w:b/>
        </w:rPr>
        <w:t>FULL TEXT:</w:t>
      </w:r>
    </w:p>
    <w:p w:rsidR="001C5CBC" w:rsidRPr="00834923" w:rsidRDefault="00834923">
      <w:pPr>
        <w:pStyle w:val="BodyText"/>
        <w:spacing w:before="1"/>
      </w:pPr>
      <w:r w:rsidRPr="00834923">
        <w:t>The full text of the regulation being proposed is attached.</w:t>
      </w:r>
    </w:p>
    <w:p w:rsidR="001C5CBC" w:rsidRPr="00834923" w:rsidRDefault="001C5CBC">
      <w:pPr>
        <w:pStyle w:val="BodyText"/>
        <w:spacing w:before="10"/>
        <w:ind w:left="0"/>
        <w:rPr>
          <w:sz w:val="21"/>
        </w:rPr>
      </w:pPr>
    </w:p>
    <w:p w:rsidR="001C5CBC" w:rsidRPr="00834923" w:rsidRDefault="00834923" w:rsidP="00834923">
      <w:pPr>
        <w:ind w:left="840"/>
        <w:rPr>
          <w:b/>
        </w:rPr>
      </w:pPr>
      <w:r w:rsidRPr="00834923">
        <w:rPr>
          <w:b/>
        </w:rPr>
        <w:t>AUTHORITY</w:t>
      </w:r>
      <w:r w:rsidRPr="00834923">
        <w:rPr>
          <w:b/>
        </w:rPr>
        <w:t>:</w:t>
      </w:r>
    </w:p>
    <w:p w:rsidR="001C5CBC" w:rsidRPr="00834923" w:rsidRDefault="00834923">
      <w:pPr>
        <w:pStyle w:val="BodyText"/>
        <w:spacing w:before="1"/>
      </w:pPr>
      <w:r w:rsidRPr="00834923">
        <w:t>Resolution of the Florida Board of Governors dated January 7, 2003 and BOG Regulation 18.001.</w:t>
      </w:r>
    </w:p>
    <w:p w:rsidR="001C5CBC" w:rsidRPr="00834923" w:rsidRDefault="001C5CBC">
      <w:pPr>
        <w:pStyle w:val="BodyText"/>
        <w:spacing w:before="10"/>
        <w:ind w:left="0"/>
        <w:rPr>
          <w:sz w:val="21"/>
        </w:rPr>
      </w:pPr>
    </w:p>
    <w:p w:rsidR="001C5CBC" w:rsidRPr="00834923" w:rsidRDefault="00834923" w:rsidP="00834923">
      <w:pPr>
        <w:ind w:left="840"/>
        <w:rPr>
          <w:b/>
        </w:rPr>
      </w:pPr>
      <w:r w:rsidRPr="00834923">
        <w:rPr>
          <w:b/>
        </w:rPr>
        <w:t>U</w:t>
      </w:r>
      <w:r w:rsidRPr="00834923">
        <w:rPr>
          <w:b/>
        </w:rPr>
        <w:t>NIVERSITY OFFICIAL INITIATING THE PROPOSED REGULATION:</w:t>
      </w:r>
    </w:p>
    <w:p w:rsidR="001C5CBC" w:rsidRPr="00834923" w:rsidRDefault="00834923">
      <w:pPr>
        <w:pStyle w:val="BodyText"/>
        <w:spacing w:before="4"/>
      </w:pPr>
      <w:r w:rsidRPr="00834923">
        <w:t>Shari Shuman, Vice President Administration and Finance</w:t>
      </w:r>
    </w:p>
    <w:p w:rsidR="001C5CBC" w:rsidRPr="00834923" w:rsidRDefault="001C5CBC">
      <w:pPr>
        <w:pStyle w:val="BodyText"/>
        <w:ind w:left="0"/>
        <w:rPr>
          <w:sz w:val="24"/>
        </w:rPr>
      </w:pPr>
    </w:p>
    <w:p w:rsidR="001C5CBC" w:rsidRPr="00834923" w:rsidRDefault="001C5CBC">
      <w:pPr>
        <w:pStyle w:val="BodyText"/>
        <w:spacing w:before="8"/>
        <w:ind w:left="0"/>
        <w:rPr>
          <w:sz w:val="19"/>
        </w:rPr>
      </w:pPr>
    </w:p>
    <w:p w:rsidR="001C5CBC" w:rsidRPr="00834923" w:rsidRDefault="00834923" w:rsidP="00834923">
      <w:pPr>
        <w:ind w:left="840"/>
        <w:rPr>
          <w:b/>
        </w:rPr>
      </w:pPr>
      <w:r w:rsidRPr="00834923">
        <w:rPr>
          <w:b/>
        </w:rPr>
        <w:t>INDIVIDUAL TO BE CONTACTED REGARDING THE PROPOSED REGULATION:</w:t>
      </w:r>
    </w:p>
    <w:p w:rsidR="001C5CBC" w:rsidRPr="00834923" w:rsidRDefault="00834923">
      <w:pPr>
        <w:pStyle w:val="BodyText"/>
        <w:spacing w:before="2"/>
        <w:ind w:right="1033"/>
      </w:pPr>
      <w:r w:rsidRPr="00834923">
        <w:t xml:space="preserve">Stephanie Howell, Paralegal, Office of the General Counsel, </w:t>
      </w:r>
      <w:hyperlink r:id="rId5">
        <w:r w:rsidRPr="00834923">
          <w:rPr>
            <w:color w:val="0000FF"/>
          </w:rPr>
          <w:t>showell@unf.edu</w:t>
        </w:r>
      </w:hyperlink>
      <w:r w:rsidRPr="00834923">
        <w:t>, phone (904)620- 2828; fax (904)620-1044; Building 1, Room 2100, 1 UNF Drive, Jacksonville, FL 32224.</w:t>
      </w:r>
    </w:p>
    <w:p w:rsidR="001C5CBC" w:rsidRPr="00834923" w:rsidRDefault="001C5CBC">
      <w:pPr>
        <w:pStyle w:val="BodyText"/>
        <w:spacing w:before="11"/>
        <w:ind w:left="0"/>
        <w:rPr>
          <w:sz w:val="21"/>
        </w:rPr>
      </w:pPr>
    </w:p>
    <w:p w:rsidR="001C5CBC" w:rsidRPr="00834923" w:rsidRDefault="00834923">
      <w:pPr>
        <w:ind w:left="840" w:right="188"/>
        <w:rPr>
          <w:b/>
          <w:i/>
        </w:rPr>
      </w:pPr>
      <w:r w:rsidRPr="00834923">
        <w:rPr>
          <w:b/>
          <w:i/>
        </w:rPr>
        <w:t>Any comments regarding the repeal of the regulation must be sent in writing to the contact person on or before Septe</w:t>
      </w:r>
      <w:r w:rsidRPr="00834923">
        <w:rPr>
          <w:b/>
          <w:i/>
        </w:rPr>
        <w:t>mber 25, 2013, to receive full consideration.</w:t>
      </w:r>
    </w:p>
    <w:p w:rsidR="001C5CBC" w:rsidRPr="00834923" w:rsidRDefault="001C5CBC">
      <w:pPr>
        <w:sectPr w:rsidR="001C5CBC" w:rsidRPr="00834923">
          <w:type w:val="continuous"/>
          <w:pgSz w:w="12240" w:h="15840"/>
          <w:pgMar w:top="1500" w:right="520" w:bottom="280" w:left="480" w:header="720" w:footer="720" w:gutter="0"/>
          <w:cols w:space="720"/>
        </w:sectPr>
      </w:pPr>
    </w:p>
    <w:p w:rsidR="001C5CBC" w:rsidRPr="00834923" w:rsidRDefault="00834923">
      <w:pPr>
        <w:spacing w:before="75"/>
        <w:ind w:left="3655" w:right="3653"/>
        <w:jc w:val="center"/>
        <w:rPr>
          <w:sz w:val="40"/>
        </w:rPr>
      </w:pPr>
      <w:r w:rsidRPr="00834923">
        <w:rPr>
          <w:sz w:val="40"/>
        </w:rPr>
        <w:lastRenderedPageBreak/>
        <w:t>Polices &amp; Regulations</w:t>
      </w:r>
    </w:p>
    <w:p w:rsidR="001C5CBC" w:rsidRPr="00834923" w:rsidRDefault="001C5CBC">
      <w:pPr>
        <w:pStyle w:val="BodyText"/>
        <w:ind w:left="0"/>
        <w:rPr>
          <w:sz w:val="20"/>
        </w:rPr>
      </w:pPr>
    </w:p>
    <w:p w:rsidR="00834923" w:rsidRPr="00834923" w:rsidRDefault="00834923" w:rsidP="00834923">
      <w:pPr>
        <w:rPr>
          <w:rFonts w:ascii="Times New Roman" w:eastAsia="Times New Roman" w:hAnsi="Times New Roman" w:cs="Times New Roman"/>
          <w:sz w:val="24"/>
          <w:szCs w:val="24"/>
          <w:lang w:bidi="ar-SA"/>
        </w:rPr>
      </w:pPr>
      <w:r w:rsidRPr="00834923">
        <w:rPr>
          <w:rFonts w:ascii="Times New Roman" w:eastAsia="Times New Roman" w:hAnsi="Times New Roman" w:cs="Times New Roman"/>
          <w:b/>
          <w:sz w:val="24"/>
          <w:szCs w:val="24"/>
          <w:lang w:bidi="ar-SA"/>
        </w:rPr>
        <w:t>Regulation Number</w:t>
      </w:r>
      <w:r w:rsidRPr="00834923">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15063A8426014DE2BB4839F2CDD84378"/>
          </w:placeholder>
          <w:text/>
        </w:sdtPr>
        <w:sdtContent>
          <w:r>
            <w:rPr>
              <w:rFonts w:ascii="Times New Roman" w:eastAsia="Times New Roman" w:hAnsi="Times New Roman" w:cs="Times New Roman"/>
              <w:sz w:val="24"/>
              <w:szCs w:val="24"/>
              <w:lang w:bidi="ar-SA"/>
            </w:rPr>
            <w:t>13.0010iR</w:t>
          </w:r>
        </w:sdtContent>
      </w:sdt>
      <w:r w:rsidRPr="00834923">
        <w:rPr>
          <w:rFonts w:ascii="Times New Roman" w:eastAsia="Times New Roman" w:hAnsi="Times New Roman" w:cs="Times New Roman"/>
          <w:sz w:val="24"/>
          <w:szCs w:val="24"/>
          <w:lang w:bidi="ar-SA"/>
        </w:rPr>
        <w:tab/>
      </w:r>
    </w:p>
    <w:p w:rsidR="00834923" w:rsidRPr="00834923" w:rsidRDefault="00834923" w:rsidP="00834923">
      <w:pPr>
        <w:rPr>
          <w:rFonts w:ascii="Times New Roman" w:eastAsia="Times New Roman" w:hAnsi="Times New Roman" w:cs="Times New Roman"/>
          <w:sz w:val="24"/>
          <w:szCs w:val="24"/>
          <w:lang w:bidi="ar-SA"/>
        </w:rPr>
      </w:pPr>
    </w:p>
    <w:p w:rsidR="00834923" w:rsidRPr="00834923" w:rsidRDefault="00834923" w:rsidP="00834923">
      <w:pPr>
        <w:rPr>
          <w:rFonts w:ascii="Times New Roman" w:eastAsia="Times New Roman" w:hAnsi="Times New Roman" w:cs="Times New Roman"/>
          <w:sz w:val="24"/>
          <w:szCs w:val="24"/>
          <w:lang w:bidi="ar-SA"/>
        </w:rPr>
      </w:pPr>
      <w:r w:rsidRPr="00834923">
        <w:rPr>
          <w:rFonts w:ascii="Times New Roman" w:eastAsia="Times New Roman" w:hAnsi="Times New Roman" w:cs="Times New Roman"/>
          <w:b/>
          <w:sz w:val="24"/>
          <w:szCs w:val="24"/>
          <w:lang w:bidi="ar-SA"/>
        </w:rPr>
        <w:t>Effective Date</w:t>
      </w:r>
      <w:r w:rsidRPr="00834923">
        <w:rPr>
          <w:rFonts w:ascii="Times New Roman" w:eastAsia="Times New Roman" w:hAnsi="Times New Roman" w:cs="Times New Roman"/>
          <w:sz w:val="24"/>
          <w:szCs w:val="24"/>
          <w:lang w:bidi="ar-SA"/>
        </w:rPr>
        <w:t xml:space="preserve">:  </w:t>
      </w:r>
      <w:r w:rsidRPr="00834923">
        <w:rPr>
          <w:rFonts w:ascii="Times New Roman" w:eastAsia="Times New Roman" w:hAnsi="Times New Roman" w:cs="Times New Roman"/>
          <w:sz w:val="24"/>
          <w:szCs w:val="24"/>
          <w:lang w:bidi="ar-SA"/>
        </w:rPr>
        <w:tab/>
      </w:r>
      <w:r w:rsidRPr="00834923">
        <w:rPr>
          <w:rFonts w:ascii="Times New Roman" w:eastAsia="Times New Roman" w:hAnsi="Times New Roman" w:cs="Times New Roman"/>
          <w:sz w:val="24"/>
          <w:szCs w:val="24"/>
          <w:lang w:bidi="ar-SA"/>
        </w:rPr>
        <w:tab/>
      </w:r>
      <w:r w:rsidRPr="00834923">
        <w:rPr>
          <w:rFonts w:ascii="Times New Roman" w:eastAsia="Times New Roman" w:hAnsi="Times New Roman" w:cs="Times New Roman"/>
          <w:b/>
          <w:sz w:val="24"/>
          <w:szCs w:val="24"/>
          <w:lang w:bidi="ar-SA"/>
        </w:rPr>
        <w:t>Revised Date</w:t>
      </w:r>
      <w:r w:rsidRPr="00834923">
        <w:rPr>
          <w:rFonts w:ascii="Times New Roman" w:eastAsia="Times New Roman" w:hAnsi="Times New Roman" w:cs="Times New Roman"/>
          <w:sz w:val="24"/>
          <w:szCs w:val="24"/>
          <w:lang w:bidi="ar-SA"/>
        </w:rPr>
        <w:t xml:space="preserve">: </w:t>
      </w:r>
    </w:p>
    <w:p w:rsidR="00834923" w:rsidRPr="00834923" w:rsidRDefault="00834923" w:rsidP="00834923">
      <w:pPr>
        <w:rPr>
          <w:rFonts w:ascii="Times New Roman" w:eastAsia="Times New Roman" w:hAnsi="Times New Roman" w:cs="Times New Roman"/>
          <w:sz w:val="24"/>
          <w:szCs w:val="24"/>
          <w:lang w:bidi="ar-SA"/>
        </w:rPr>
      </w:pPr>
    </w:p>
    <w:p w:rsidR="00834923" w:rsidRPr="00834923" w:rsidRDefault="00834923" w:rsidP="00834923">
      <w:pPr>
        <w:widowControl/>
        <w:autoSpaceDE/>
        <w:autoSpaceDN/>
        <w:spacing w:line="259" w:lineRule="auto"/>
        <w:outlineLvl w:val="0"/>
        <w:rPr>
          <w:rFonts w:ascii="Times New Roman" w:eastAsia="Times New Roman" w:hAnsi="Times New Roman" w:cs="Times New Roman"/>
          <w:b/>
          <w:color w:val="000000"/>
          <w:sz w:val="24"/>
          <w:lang w:bidi="ar-SA"/>
        </w:rPr>
      </w:pPr>
      <w:r w:rsidRPr="00834923">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15063A8426014DE2BB4839F2CDD84378"/>
          </w:placeholder>
          <w:text/>
        </w:sdtPr>
        <w:sdtContent>
          <w:r>
            <w:rPr>
              <w:rFonts w:ascii="Times New Roman" w:eastAsia="Times New Roman" w:hAnsi="Times New Roman" w:cs="Times New Roman"/>
              <w:b/>
              <w:color w:val="000000"/>
              <w:sz w:val="24"/>
              <w:lang w:bidi="ar-SA"/>
            </w:rPr>
            <w:t>Purchasing Regulation</w:t>
          </w:r>
        </w:sdtContent>
      </w:sdt>
    </w:p>
    <w:p w:rsidR="00834923" w:rsidRPr="00834923" w:rsidRDefault="00834923" w:rsidP="00834923">
      <w:pPr>
        <w:rPr>
          <w:rFonts w:ascii="Times New Roman" w:eastAsia="Times New Roman" w:hAnsi="Times New Roman" w:cs="Times New Roman"/>
          <w:b/>
          <w:sz w:val="24"/>
          <w:szCs w:val="24"/>
        </w:rPr>
      </w:pPr>
    </w:p>
    <w:p w:rsidR="00834923" w:rsidRPr="00834923" w:rsidRDefault="00834923" w:rsidP="00834923">
      <w:pPr>
        <w:rPr>
          <w:rFonts w:ascii="Times New Roman" w:eastAsia="Times New Roman" w:hAnsi="Times New Roman" w:cs="Times New Roman"/>
          <w:sz w:val="24"/>
          <w:szCs w:val="24"/>
        </w:rPr>
      </w:pPr>
      <w:r w:rsidRPr="00834923">
        <w:rPr>
          <w:rFonts w:ascii="Times New Roman" w:eastAsia="Times New Roman" w:hAnsi="Times New Roman" w:cs="Times New Roman"/>
          <w:b/>
          <w:sz w:val="24"/>
          <w:szCs w:val="24"/>
        </w:rPr>
        <w:t>Responsible Division/Department</w:t>
      </w:r>
      <w:r w:rsidRPr="0083492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15063A8426014DE2BB4839F2CDD84378"/>
          </w:placeholder>
          <w:text/>
        </w:sdtPr>
        <w:sdtContent>
          <w:r>
            <w:rPr>
              <w:rFonts w:ascii="Times New Roman" w:eastAsia="Times New Roman" w:hAnsi="Times New Roman" w:cs="Times New Roman"/>
              <w:sz w:val="24"/>
              <w:szCs w:val="24"/>
            </w:rPr>
            <w:t xml:space="preserve">Administration and Finance/ Purchasing </w:t>
          </w:r>
        </w:sdtContent>
      </w:sdt>
    </w:p>
    <w:p w:rsidR="00834923" w:rsidRPr="00834923" w:rsidRDefault="00834923" w:rsidP="00834923">
      <w:pPr>
        <w:rPr>
          <w:rFonts w:ascii="Times New Roman" w:eastAsia="Times New Roman" w:hAnsi="Times New Roman" w:cs="Times New Roman"/>
          <w:sz w:val="24"/>
          <w:szCs w:val="24"/>
        </w:rPr>
      </w:pPr>
    </w:p>
    <w:p w:rsidR="00834923" w:rsidRPr="00834923" w:rsidRDefault="00834923" w:rsidP="00834923">
      <w:pPr>
        <w:rPr>
          <w:rFonts w:ascii="Times New Roman" w:eastAsia="Times New Roman" w:hAnsi="Times New Roman" w:cs="Times New Roman"/>
          <w:b/>
          <w:sz w:val="24"/>
          <w:szCs w:val="24"/>
          <w:lang w:bidi="ar-SA"/>
        </w:rPr>
      </w:pPr>
      <w:r w:rsidRPr="00834923">
        <w:rPr>
          <w:rFonts w:ascii="Times New Roman" w:eastAsia="Times New Roman" w:hAnsi="Times New Roman" w:cs="Times New Roman"/>
          <w:b/>
          <w:sz w:val="24"/>
          <w:szCs w:val="24"/>
          <w:lang w:bidi="ar-SA"/>
        </w:rPr>
        <w:t xml:space="preserve">Check what type of Regulation this is: </w:t>
      </w:r>
    </w:p>
    <w:p w:rsidR="00834923" w:rsidRPr="00834923" w:rsidRDefault="00834923" w:rsidP="0083492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834923">
        <w:rPr>
          <w:rFonts w:ascii="Times New Roman" w:eastAsia="Times New Roman" w:hAnsi="Times New Roman" w:cs="Times New Roman"/>
          <w:sz w:val="24"/>
          <w:szCs w:val="24"/>
          <w:lang w:bidi="ar-SA"/>
        </w:rPr>
        <w:t xml:space="preserve">New Regulation </w:t>
      </w:r>
    </w:p>
    <w:p w:rsidR="00834923" w:rsidRPr="00834923" w:rsidRDefault="00834923" w:rsidP="0083492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834923">
            <w:rPr>
              <w:rFonts w:ascii="Segoe UI Symbol" w:eastAsia="Times New Roman" w:hAnsi="Segoe UI Symbol" w:cs="Segoe UI Symbol"/>
              <w:sz w:val="24"/>
              <w:szCs w:val="24"/>
              <w:lang w:bidi="ar-SA"/>
            </w:rPr>
            <w:t>☐</w:t>
          </w:r>
        </w:sdtContent>
      </w:sdt>
      <w:r w:rsidRPr="00834923">
        <w:rPr>
          <w:rFonts w:ascii="Times New Roman" w:eastAsia="Times New Roman" w:hAnsi="Times New Roman" w:cs="Times New Roman"/>
          <w:sz w:val="24"/>
          <w:szCs w:val="24"/>
          <w:lang w:bidi="ar-SA"/>
        </w:rPr>
        <w:t xml:space="preserve">Major Revision of Existing Regulation </w:t>
      </w:r>
    </w:p>
    <w:p w:rsidR="00834923" w:rsidRPr="00834923" w:rsidRDefault="00834923" w:rsidP="0083492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834923">
            <w:rPr>
              <w:rFonts w:ascii="Segoe UI Symbol" w:eastAsia="Times New Roman" w:hAnsi="Segoe UI Symbol" w:cs="Segoe UI Symbol"/>
              <w:sz w:val="24"/>
              <w:szCs w:val="24"/>
              <w:lang w:bidi="ar-SA"/>
            </w:rPr>
            <w:t>☐</w:t>
          </w:r>
        </w:sdtContent>
      </w:sdt>
      <w:r w:rsidRPr="00834923">
        <w:rPr>
          <w:rFonts w:ascii="Times New Roman" w:eastAsia="Times New Roman" w:hAnsi="Times New Roman" w:cs="Times New Roman"/>
          <w:sz w:val="24"/>
          <w:szCs w:val="24"/>
          <w:lang w:bidi="ar-SA"/>
        </w:rPr>
        <w:t>Minor/Technical Revision of Existing Regulation</w:t>
      </w:r>
    </w:p>
    <w:p w:rsidR="00834923" w:rsidRPr="00834923" w:rsidRDefault="00834923" w:rsidP="00834923">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834923">
            <w:rPr>
              <w:rFonts w:ascii="Segoe UI Symbol" w:eastAsia="Times New Roman" w:hAnsi="Segoe UI Symbol" w:cs="Segoe UI Symbol"/>
              <w:sz w:val="24"/>
              <w:szCs w:val="24"/>
              <w:lang w:bidi="ar-SA"/>
            </w:rPr>
            <w:t>☐</w:t>
          </w:r>
        </w:sdtContent>
      </w:sdt>
      <w:r w:rsidRPr="00834923">
        <w:rPr>
          <w:rFonts w:ascii="Times New Roman" w:eastAsia="Times New Roman" w:hAnsi="Times New Roman" w:cs="Times New Roman"/>
          <w:sz w:val="24"/>
          <w:szCs w:val="24"/>
          <w:lang w:bidi="ar-SA"/>
        </w:rPr>
        <w:t xml:space="preserve">Reaffirmation of Existing Regulation </w:t>
      </w:r>
      <w:bookmarkStart w:id="0" w:name="STATEMENT_OF_REGULATION"/>
      <w:bookmarkEnd w:id="0"/>
    </w:p>
    <w:p w:rsidR="001C5CBC" w:rsidRPr="00834923" w:rsidRDefault="00834923" w:rsidP="00834923">
      <w:pPr>
        <w:pStyle w:val="Heading2"/>
      </w:pPr>
      <w:r w:rsidRPr="00834923">
        <w:t>OBJECTIVE &amp;</w:t>
      </w:r>
      <w:r w:rsidRPr="00834923">
        <w:t xml:space="preserve"> </w:t>
      </w:r>
      <w:r w:rsidRPr="00834923">
        <w:t>PURPOSE</w:t>
      </w:r>
    </w:p>
    <w:p w:rsidR="001C5CBC" w:rsidRPr="00834923" w:rsidRDefault="00834923">
      <w:pPr>
        <w:pStyle w:val="BodyText"/>
        <w:spacing w:before="129"/>
        <w:ind w:right="837"/>
        <w:jc w:val="both"/>
      </w:pPr>
      <w:r w:rsidRPr="00834923">
        <w:t>I</w:t>
      </w:r>
      <w:r w:rsidRPr="00834923">
        <w:t xml:space="preserve">t is the objective of the University to acquire quality goods and services within reasonable or required time frames, while promoting fair and open competition in the public procurement process. The process shall reduce the appearance and opportunity for </w:t>
      </w:r>
      <w:r w:rsidRPr="00834923">
        <w:t xml:space="preserve">favoritism, ensure that contracts are awarded equitably and economically, and establish effective management oversight in the acquisition of commodities and contractual services, in order to preserve the integrity of public purchasing and contracting. The </w:t>
      </w:r>
      <w:r w:rsidRPr="00834923">
        <w:t xml:space="preserve">opportunity to bid on University contracts is a </w:t>
      </w:r>
      <w:proofErr w:type="gramStart"/>
      <w:r w:rsidRPr="00834923">
        <w:t>privilege,  not</w:t>
      </w:r>
      <w:proofErr w:type="gramEnd"/>
      <w:r w:rsidRPr="00834923">
        <w:t xml:space="preserve"> a</w:t>
      </w:r>
      <w:r w:rsidRPr="00834923">
        <w:rPr>
          <w:spacing w:val="-1"/>
        </w:rPr>
        <w:t xml:space="preserve"> </w:t>
      </w:r>
      <w:r w:rsidRPr="00834923">
        <w:t>right.</w:t>
      </w:r>
    </w:p>
    <w:p w:rsidR="001C5CBC" w:rsidRPr="00834923" w:rsidRDefault="001C5CBC">
      <w:pPr>
        <w:pStyle w:val="BodyText"/>
        <w:spacing w:before="7"/>
        <w:ind w:left="0"/>
        <w:rPr>
          <w:sz w:val="24"/>
        </w:rPr>
      </w:pPr>
    </w:p>
    <w:p w:rsidR="001C5CBC" w:rsidRPr="00834923" w:rsidRDefault="00834923" w:rsidP="00834923">
      <w:pPr>
        <w:pStyle w:val="Heading2"/>
      </w:pPr>
      <w:r w:rsidRPr="00834923">
        <w:t>STATEMENT OF</w:t>
      </w:r>
      <w:r w:rsidRPr="00834923">
        <w:rPr>
          <w:spacing w:val="-3"/>
        </w:rPr>
        <w:t xml:space="preserve"> </w:t>
      </w:r>
      <w:r w:rsidRPr="00834923">
        <w:rPr>
          <w:rStyle w:val="Heading2Char"/>
        </w:rPr>
        <w:t>REGULATION</w:t>
      </w:r>
    </w:p>
    <w:p w:rsidR="001C5CBC" w:rsidRPr="00834923" w:rsidRDefault="001C5CBC">
      <w:pPr>
        <w:pStyle w:val="BodyText"/>
        <w:spacing w:before="1"/>
        <w:ind w:left="0"/>
        <w:rPr>
          <w:b/>
          <w:sz w:val="24"/>
        </w:rPr>
      </w:pPr>
    </w:p>
    <w:p w:rsidR="001C5CBC" w:rsidRPr="00834923" w:rsidRDefault="00834923">
      <w:pPr>
        <w:pStyle w:val="ListParagraph"/>
        <w:numPr>
          <w:ilvl w:val="0"/>
          <w:numId w:val="3"/>
        </w:numPr>
        <w:tabs>
          <w:tab w:val="left" w:pos="1232"/>
        </w:tabs>
        <w:spacing w:before="1"/>
        <w:ind w:right="1641" w:firstLine="62"/>
        <w:jc w:val="left"/>
      </w:pPr>
      <w:r w:rsidRPr="00834923">
        <w:t>The University is authorized to adopt regulations establishing basic criteria related to procurement, including procedures and practices to be used in acquir</w:t>
      </w:r>
      <w:r w:rsidRPr="00834923">
        <w:t>ing commodities and contractual services, as</w:t>
      </w:r>
      <w:r w:rsidRPr="00834923">
        <w:rPr>
          <w:spacing w:val="-4"/>
        </w:rPr>
        <w:t xml:space="preserve"> </w:t>
      </w:r>
      <w:r w:rsidRPr="00834923">
        <w:t>follows:</w:t>
      </w:r>
    </w:p>
    <w:p w:rsidR="001C5CBC" w:rsidRPr="00834923" w:rsidRDefault="00834923">
      <w:pPr>
        <w:pStyle w:val="ListParagraph"/>
        <w:numPr>
          <w:ilvl w:val="1"/>
          <w:numId w:val="3"/>
        </w:numPr>
        <w:tabs>
          <w:tab w:val="left" w:pos="1894"/>
        </w:tabs>
        <w:ind w:right="954" w:firstLine="719"/>
        <w:jc w:val="both"/>
      </w:pPr>
      <w:r w:rsidRPr="00834923">
        <w:t>Removing any contractor from the University’s competitive vendor list that fails to fulfill any of its duties specified in a contract with the University</w:t>
      </w:r>
      <w:r w:rsidRPr="00834923">
        <w:rPr>
          <w:strike/>
          <w:color w:val="0000FF"/>
        </w:rPr>
        <w:t>(s)</w:t>
      </w:r>
      <w:r w:rsidRPr="00834923">
        <w:rPr>
          <w:color w:val="0000FF"/>
        </w:rPr>
        <w:t xml:space="preserve"> </w:t>
      </w:r>
      <w:r w:rsidRPr="00834923">
        <w:t>and to reinstate any such contractor when satisfied that further instances of default will not</w:t>
      </w:r>
      <w:r w:rsidRPr="00834923">
        <w:rPr>
          <w:spacing w:val="-3"/>
        </w:rPr>
        <w:t xml:space="preserve"> </w:t>
      </w:r>
      <w:r w:rsidRPr="00834923">
        <w:t>occur.</w:t>
      </w:r>
    </w:p>
    <w:p w:rsidR="001C5CBC" w:rsidRPr="00834923" w:rsidRDefault="00834923">
      <w:pPr>
        <w:pStyle w:val="ListParagraph"/>
        <w:numPr>
          <w:ilvl w:val="1"/>
          <w:numId w:val="3"/>
        </w:numPr>
        <w:tabs>
          <w:tab w:val="left" w:pos="1894"/>
        </w:tabs>
        <w:spacing w:before="1"/>
        <w:ind w:right="1167" w:firstLine="719"/>
      </w:pPr>
      <w:r w:rsidRPr="00834923">
        <w:t xml:space="preserve">Planning and coordinating purchases in volume and negotiating and executing agreements and contracts for commodities and contractual services under which </w:t>
      </w:r>
      <w:r w:rsidRPr="00834923">
        <w:t>the</w:t>
      </w:r>
      <w:r w:rsidRPr="00834923">
        <w:rPr>
          <w:spacing w:val="-27"/>
        </w:rPr>
        <w:t xml:space="preserve"> </w:t>
      </w:r>
      <w:r w:rsidRPr="00834923">
        <w:t>University may make</w:t>
      </w:r>
      <w:r w:rsidRPr="00834923">
        <w:rPr>
          <w:spacing w:val="-4"/>
        </w:rPr>
        <w:t xml:space="preserve"> </w:t>
      </w:r>
      <w:r w:rsidRPr="00834923">
        <w:t>purchases.</w:t>
      </w:r>
    </w:p>
    <w:p w:rsidR="001C5CBC" w:rsidRPr="00834923" w:rsidRDefault="00834923">
      <w:pPr>
        <w:pStyle w:val="ListParagraph"/>
        <w:numPr>
          <w:ilvl w:val="1"/>
          <w:numId w:val="3"/>
        </w:numPr>
        <w:tabs>
          <w:tab w:val="left" w:pos="1880"/>
        </w:tabs>
        <w:ind w:right="847" w:firstLine="719"/>
      </w:pPr>
      <w:r w:rsidRPr="00834923">
        <w:t>Evaluating, approving, and utilizing contracts let by any State of Florida agency or department, the Federal Government, other states, political subdivisions, not-for-profit cooperatives or consortia, or any independen</w:t>
      </w:r>
      <w:r w:rsidRPr="00834923">
        <w:t>t college or university for the procurement of commodities and contractual services, when it is determined to be cost-effective and in the best interest of the University, to make purchases under contracts let by such other entities.</w:t>
      </w:r>
      <w:r w:rsidRPr="00834923">
        <w:rPr>
          <w:color w:val="0000FF"/>
        </w:rPr>
        <w:t xml:space="preserve"> </w:t>
      </w:r>
      <w:r w:rsidRPr="00834923">
        <w:rPr>
          <w:color w:val="0000FF"/>
        </w:rPr>
        <w:t>The University</w:t>
      </w:r>
      <w:r w:rsidRPr="00834923">
        <w:rPr>
          <w:color w:val="0000FF"/>
        </w:rPr>
        <w:t xml:space="preserve"> </w:t>
      </w:r>
      <w:r w:rsidRPr="00834923">
        <w:rPr>
          <w:strike/>
          <w:color w:val="0000FF"/>
        </w:rPr>
        <w:t>Univers</w:t>
      </w:r>
      <w:r w:rsidRPr="00834923">
        <w:rPr>
          <w:strike/>
          <w:color w:val="0000FF"/>
        </w:rPr>
        <w:t>ities</w:t>
      </w:r>
      <w:r w:rsidRPr="00834923">
        <w:rPr>
          <w:color w:val="0000FF"/>
        </w:rPr>
        <w:t xml:space="preserve"> </w:t>
      </w:r>
      <w:r w:rsidRPr="00834923">
        <w:t>shall review existing consortia and cooperative contracts to identify potential savings and, if there is the potential for savings, enter into new consortia and</w:t>
      </w:r>
      <w:r w:rsidRPr="00834923">
        <w:rPr>
          <w:spacing w:val="-31"/>
        </w:rPr>
        <w:t xml:space="preserve"> </w:t>
      </w:r>
      <w:r w:rsidRPr="00834923">
        <w:t>cooperative contracts to achieve the savings, with the goal of achieving a five-percent s</w:t>
      </w:r>
      <w:r w:rsidRPr="00834923">
        <w:t>avings on existing contract</w:t>
      </w:r>
      <w:r w:rsidRPr="00834923">
        <w:rPr>
          <w:spacing w:val="1"/>
        </w:rPr>
        <w:t xml:space="preserve"> </w:t>
      </w:r>
      <w:r w:rsidRPr="00834923">
        <w:t>prices.</w:t>
      </w:r>
    </w:p>
    <w:p w:rsidR="001C5CBC" w:rsidRPr="00834923" w:rsidRDefault="00834923">
      <w:pPr>
        <w:pStyle w:val="ListParagraph"/>
        <w:numPr>
          <w:ilvl w:val="1"/>
          <w:numId w:val="3"/>
        </w:numPr>
        <w:tabs>
          <w:tab w:val="left" w:pos="1894"/>
        </w:tabs>
        <w:spacing w:before="1"/>
        <w:ind w:right="1018" w:firstLine="719"/>
      </w:pPr>
      <w:r w:rsidRPr="00834923">
        <w:t>Awarding contracts for commodities and contractual services to multiple suppliers, if it is determined to be in the best interest of the University. Such awards may be on a</w:t>
      </w:r>
      <w:r w:rsidRPr="00834923">
        <w:rPr>
          <w:color w:val="0000FF"/>
        </w:rPr>
        <w:t xml:space="preserve"> </w:t>
      </w:r>
      <w:proofErr w:type="spellStart"/>
      <w:r w:rsidRPr="00834923">
        <w:rPr>
          <w:strike/>
          <w:color w:val="0000FF"/>
        </w:rPr>
        <w:t>u</w:t>
      </w:r>
      <w:r w:rsidRPr="00834923">
        <w:rPr>
          <w:color w:val="0000FF"/>
        </w:rPr>
        <w:t>U</w:t>
      </w:r>
      <w:r w:rsidRPr="00834923">
        <w:t>niversity</w:t>
      </w:r>
      <w:proofErr w:type="spellEnd"/>
      <w:r w:rsidRPr="00834923">
        <w:t>, regional or State University Syst</w:t>
      </w:r>
      <w:r w:rsidRPr="00834923">
        <w:t>em-wide basis and the contracts may be for multiple</w:t>
      </w:r>
      <w:r w:rsidRPr="00834923">
        <w:rPr>
          <w:spacing w:val="-21"/>
        </w:rPr>
        <w:t xml:space="preserve"> </w:t>
      </w:r>
      <w:r w:rsidRPr="00834923">
        <w:t>years.</w:t>
      </w:r>
    </w:p>
    <w:p w:rsidR="001C5CBC" w:rsidRPr="00834923" w:rsidRDefault="00834923">
      <w:pPr>
        <w:pStyle w:val="ListParagraph"/>
        <w:numPr>
          <w:ilvl w:val="1"/>
          <w:numId w:val="3"/>
        </w:numPr>
        <w:tabs>
          <w:tab w:val="left" w:pos="1894"/>
        </w:tabs>
        <w:ind w:right="955" w:firstLine="719"/>
      </w:pPr>
      <w:r w:rsidRPr="00834923">
        <w:t>Rejecting or canceling any or all competitive solicitations when determined to be in the best interest of the</w:t>
      </w:r>
      <w:r w:rsidRPr="00834923">
        <w:rPr>
          <w:spacing w:val="2"/>
        </w:rPr>
        <w:t xml:space="preserve"> </w:t>
      </w:r>
      <w:r w:rsidRPr="00834923">
        <w:t>University.</w:t>
      </w:r>
    </w:p>
    <w:p w:rsidR="001C5CBC" w:rsidRPr="00834923" w:rsidRDefault="00834923">
      <w:pPr>
        <w:pStyle w:val="ListParagraph"/>
        <w:numPr>
          <w:ilvl w:val="1"/>
          <w:numId w:val="3"/>
        </w:numPr>
        <w:tabs>
          <w:tab w:val="left" w:pos="1832"/>
        </w:tabs>
        <w:ind w:right="1242" w:firstLine="719"/>
      </w:pPr>
      <w:r w:rsidRPr="00834923">
        <w:t>Barring any vendor from doing business with the University for demonstrated</w:t>
      </w:r>
      <w:r w:rsidRPr="00834923">
        <w:rPr>
          <w:spacing w:val="-27"/>
        </w:rPr>
        <w:t xml:space="preserve"> </w:t>
      </w:r>
      <w:r w:rsidRPr="00834923">
        <w:t xml:space="preserve">cause, </w:t>
      </w:r>
      <w:r w:rsidRPr="00834923">
        <w:lastRenderedPageBreak/>
        <w:t>including previous unsatisfactory performance.</w:t>
      </w:r>
    </w:p>
    <w:p w:rsidR="001C5CBC" w:rsidRPr="00834923" w:rsidRDefault="00834923">
      <w:pPr>
        <w:pStyle w:val="ListParagraph"/>
        <w:numPr>
          <w:ilvl w:val="1"/>
          <w:numId w:val="3"/>
        </w:numPr>
        <w:tabs>
          <w:tab w:val="left" w:pos="1894"/>
        </w:tabs>
        <w:ind w:right="920" w:firstLine="719"/>
      </w:pPr>
      <w:r w:rsidRPr="00834923">
        <w:t>Proh</w:t>
      </w:r>
      <w:r w:rsidRPr="00834923">
        <w:t>ibiting University employees and University direct support organization</w:t>
      </w:r>
      <w:r w:rsidRPr="00834923">
        <w:rPr>
          <w:spacing w:val="-21"/>
        </w:rPr>
        <w:t xml:space="preserve"> </w:t>
      </w:r>
      <w:r w:rsidRPr="00834923">
        <w:t>employees participating on a procurement selection committee for commodities or services from soliciting donations from responding vendors during the selection process, except for dona</w:t>
      </w:r>
      <w:r w:rsidRPr="00834923">
        <w:t>tions or other benefits expressly stated in the procurement</w:t>
      </w:r>
      <w:r w:rsidRPr="00834923">
        <w:rPr>
          <w:spacing w:val="-7"/>
        </w:rPr>
        <w:t xml:space="preserve"> </w:t>
      </w:r>
      <w:r w:rsidRPr="00834923">
        <w:t>document.</w:t>
      </w:r>
    </w:p>
    <w:p w:rsidR="001C5CBC" w:rsidRPr="00834923" w:rsidRDefault="00834923">
      <w:pPr>
        <w:pStyle w:val="ListParagraph"/>
        <w:numPr>
          <w:ilvl w:val="0"/>
          <w:numId w:val="3"/>
        </w:numPr>
        <w:tabs>
          <w:tab w:val="left" w:pos="1175"/>
        </w:tabs>
        <w:spacing w:before="108"/>
        <w:ind w:right="940" w:firstLine="0"/>
        <w:jc w:val="left"/>
      </w:pPr>
      <w:bookmarkStart w:id="1" w:name="_GoBack"/>
      <w:bookmarkEnd w:id="1"/>
      <w:r w:rsidRPr="00834923">
        <w:rPr>
          <w:b/>
        </w:rPr>
        <w:t>Competitive Solicitation Threshold.</w:t>
      </w:r>
      <w:r w:rsidRPr="00834923">
        <w:rPr>
          <w:b/>
          <w:color w:val="0000FF"/>
        </w:rPr>
        <w:t xml:space="preserve"> </w:t>
      </w:r>
      <w:r w:rsidRPr="00834923">
        <w:rPr>
          <w:strike/>
          <w:color w:val="0000FF"/>
        </w:rPr>
        <w:t>Each university Board of Trustees shall establish a</w:t>
      </w:r>
      <w:r w:rsidRPr="00834923">
        <w:rPr>
          <w:color w:val="0000FF"/>
        </w:rPr>
        <w:t xml:space="preserve"> </w:t>
      </w:r>
      <w:proofErr w:type="gramStart"/>
      <w:r w:rsidRPr="00834923">
        <w:rPr>
          <w:color w:val="0000FF"/>
        </w:rPr>
        <w:t>The</w:t>
      </w:r>
      <w:proofErr w:type="gramEnd"/>
      <w:r w:rsidRPr="00834923">
        <w:t xml:space="preserve"> competitive solicitation threshold</w:t>
      </w:r>
      <w:r w:rsidRPr="00834923">
        <w:rPr>
          <w:color w:val="0000FF"/>
        </w:rPr>
        <w:t xml:space="preserve"> </w:t>
      </w:r>
      <w:r w:rsidRPr="00834923">
        <w:rPr>
          <w:strike/>
          <w:color w:val="0000FF"/>
        </w:rPr>
        <w:t xml:space="preserve">not greater </w:t>
      </w:r>
      <w:proofErr w:type="spellStart"/>
      <w:r w:rsidRPr="00834923">
        <w:rPr>
          <w:strike/>
          <w:color w:val="0000FF"/>
        </w:rPr>
        <w:t>than</w:t>
      </w:r>
      <w:r w:rsidRPr="00834923">
        <w:rPr>
          <w:color w:val="0000FF"/>
        </w:rPr>
        <w:t>is</w:t>
      </w:r>
      <w:proofErr w:type="spellEnd"/>
      <w:r w:rsidRPr="00834923">
        <w:rPr>
          <w:color w:val="0000FF"/>
        </w:rPr>
        <w:t xml:space="preserve"> </w:t>
      </w:r>
      <w:r w:rsidRPr="00834923">
        <w:t>$75,000 (the “Competitive Solicitation Threshold”) for the purchase of commodities or contractual</w:t>
      </w:r>
      <w:r w:rsidRPr="00834923">
        <w:rPr>
          <w:spacing w:val="-10"/>
        </w:rPr>
        <w:t xml:space="preserve"> </w:t>
      </w:r>
      <w:r w:rsidRPr="00834923">
        <w:t>services.</w:t>
      </w:r>
    </w:p>
    <w:p w:rsidR="001C5CBC" w:rsidRPr="00834923" w:rsidRDefault="00834923">
      <w:pPr>
        <w:pStyle w:val="ListParagraph"/>
        <w:numPr>
          <w:ilvl w:val="1"/>
          <w:numId w:val="3"/>
        </w:numPr>
        <w:tabs>
          <w:tab w:val="left" w:pos="1887"/>
        </w:tabs>
        <w:spacing w:before="2"/>
        <w:ind w:right="872" w:firstLine="719"/>
      </w:pPr>
      <w:r w:rsidRPr="00834923">
        <w:t xml:space="preserve">When only one response is received to the competitive solicitation for commodities or contractual services that exceed the Competitive Solicitation </w:t>
      </w:r>
      <w:r w:rsidRPr="00834923">
        <w:t xml:space="preserve">Threshold, the University may review the solicitation responses to determine if a second call for a competitive solicitation is in the best interest of the University. If it is determined that a second call would not serve a useful purpose, the University </w:t>
      </w:r>
      <w:r w:rsidRPr="00834923">
        <w:t>may proceed with the</w:t>
      </w:r>
      <w:r w:rsidRPr="00834923">
        <w:rPr>
          <w:spacing w:val="-6"/>
        </w:rPr>
        <w:t xml:space="preserve"> </w:t>
      </w:r>
      <w:r w:rsidRPr="00834923">
        <w:t>acquisition.</w:t>
      </w:r>
    </w:p>
    <w:p w:rsidR="001C5CBC" w:rsidRPr="00834923" w:rsidRDefault="00834923">
      <w:pPr>
        <w:pStyle w:val="ListParagraph"/>
        <w:numPr>
          <w:ilvl w:val="1"/>
          <w:numId w:val="3"/>
        </w:numPr>
        <w:tabs>
          <w:tab w:val="left" w:pos="1892"/>
        </w:tabs>
        <w:ind w:right="883" w:firstLine="719"/>
      </w:pPr>
      <w:r w:rsidRPr="00834923">
        <w:t>The purchase of commodities and contractual services shall not be divided to avoid the requirement of competitive solicitation.</w:t>
      </w:r>
    </w:p>
    <w:p w:rsidR="001C5CBC" w:rsidRPr="00834923" w:rsidRDefault="00834923" w:rsidP="00834923">
      <w:pPr>
        <w:ind w:left="720"/>
        <w:rPr>
          <w:b/>
        </w:rPr>
      </w:pPr>
      <w:r>
        <w:rPr>
          <w:b/>
        </w:rPr>
        <w:t xml:space="preserve">3. </w:t>
      </w:r>
      <w:r w:rsidRPr="00834923">
        <w:rPr>
          <w:b/>
        </w:rPr>
        <w:t>Preferences for Florida-Based</w:t>
      </w:r>
      <w:r w:rsidRPr="00834923">
        <w:rPr>
          <w:b/>
        </w:rPr>
        <w:t xml:space="preserve"> </w:t>
      </w:r>
      <w:r w:rsidRPr="00834923">
        <w:rPr>
          <w:b/>
        </w:rPr>
        <w:t>Vendors</w:t>
      </w:r>
      <w:r w:rsidRPr="00834923">
        <w:rPr>
          <w:b/>
        </w:rPr>
        <w:t>.</w:t>
      </w:r>
    </w:p>
    <w:p w:rsidR="001C5CBC" w:rsidRPr="00834923" w:rsidRDefault="00834923">
      <w:pPr>
        <w:pStyle w:val="ListParagraph"/>
        <w:numPr>
          <w:ilvl w:val="0"/>
          <w:numId w:val="2"/>
        </w:numPr>
        <w:tabs>
          <w:tab w:val="left" w:pos="1174"/>
        </w:tabs>
        <w:spacing w:before="4"/>
        <w:ind w:right="969" w:firstLine="0"/>
      </w:pPr>
      <w:r w:rsidRPr="00834923">
        <w:t>Preferences for Personal Property. When</w:t>
      </w:r>
      <w:r w:rsidRPr="00834923">
        <w:rPr>
          <w:color w:val="0000FF"/>
        </w:rPr>
        <w:t xml:space="preserve"> </w:t>
      </w:r>
      <w:proofErr w:type="spellStart"/>
      <w:r w:rsidRPr="00834923">
        <w:rPr>
          <w:strike/>
          <w:color w:val="0000FF"/>
        </w:rPr>
        <w:t>a</w:t>
      </w:r>
      <w:r w:rsidRPr="00834923">
        <w:rPr>
          <w:color w:val="0000FF"/>
        </w:rPr>
        <w:t>the</w:t>
      </w:r>
      <w:proofErr w:type="spellEnd"/>
      <w:r w:rsidRPr="00834923">
        <w:rPr>
          <w:color w:val="0000FF"/>
        </w:rPr>
        <w:t xml:space="preserve"> </w:t>
      </w:r>
      <w:r w:rsidRPr="00834923">
        <w:t>Universit</w:t>
      </w:r>
      <w:r w:rsidRPr="00834923">
        <w:t>y awards a contract to purchase personal property, other than printing, by competitive solicitation pursuant to paragraph (2) of this regulation, a preference shall be provided to vendors with a principal place of business in Florida (such vendors hereinaf</w:t>
      </w:r>
      <w:r w:rsidRPr="00834923">
        <w:t>ter referred to as “Resident Vendors”) as</w:t>
      </w:r>
      <w:r w:rsidRPr="00834923">
        <w:rPr>
          <w:spacing w:val="-18"/>
        </w:rPr>
        <w:t xml:space="preserve"> </w:t>
      </w:r>
      <w:r w:rsidRPr="00834923">
        <w:t>follows:</w:t>
      </w:r>
    </w:p>
    <w:p w:rsidR="001C5CBC" w:rsidRPr="00834923" w:rsidRDefault="001C5CBC">
      <w:pPr>
        <w:pStyle w:val="BodyText"/>
        <w:ind w:left="0"/>
      </w:pPr>
    </w:p>
    <w:p w:rsidR="001C5CBC" w:rsidRPr="00834923" w:rsidRDefault="00834923">
      <w:pPr>
        <w:pStyle w:val="ListParagraph"/>
        <w:numPr>
          <w:ilvl w:val="1"/>
          <w:numId w:val="2"/>
        </w:numPr>
        <w:tabs>
          <w:tab w:val="left" w:pos="1806"/>
        </w:tabs>
        <w:ind w:right="844" w:firstLine="719"/>
      </w:pPr>
      <w:r w:rsidRPr="00834923">
        <w:t>If the responsible and responsive vendor that submits the lowest bid, the most advantageous proposal, or the best value reply is one whose principal place of business is outside of Florida and is in a state or political subdivision thereof that grants a pr</w:t>
      </w:r>
      <w:r w:rsidRPr="00834923">
        <w:t>eference for the same purchase to a vendor in such state or political subdivision, as applicable, then the University shall grant the same preference to the responsible and responsive Resident Vendor with the lowest bid received pursuant to an Invitation t</w:t>
      </w:r>
      <w:r w:rsidRPr="00834923">
        <w:t>o Bid, the most advantageous proposal received pursuant to a Request for Proposals, or the best value reply received pursuant to an Invitation to</w:t>
      </w:r>
      <w:r w:rsidRPr="00834923">
        <w:rPr>
          <w:spacing w:val="-21"/>
        </w:rPr>
        <w:t xml:space="preserve"> </w:t>
      </w:r>
      <w:r w:rsidRPr="00834923">
        <w:t>Negotiate.</w:t>
      </w:r>
    </w:p>
    <w:p w:rsidR="001C5CBC" w:rsidRPr="00834923" w:rsidRDefault="00834923">
      <w:pPr>
        <w:pStyle w:val="ListParagraph"/>
        <w:numPr>
          <w:ilvl w:val="1"/>
          <w:numId w:val="2"/>
        </w:numPr>
        <w:tabs>
          <w:tab w:val="left" w:pos="1801"/>
        </w:tabs>
        <w:ind w:right="1002" w:firstLine="719"/>
      </w:pPr>
      <w:r w:rsidRPr="00834923">
        <w:t>With respect to Invitations to Bid, if the lowest responsible and responsive bid is from a vendor w</w:t>
      </w:r>
      <w:r w:rsidRPr="00834923">
        <w:t>hose principal place of business is in a state that does not grant a preference for the purchase to a vendor in such state, then the University shall grant a preference in the amount of five percent (5%) to the lowest responsible and responsive Resident</w:t>
      </w:r>
      <w:r w:rsidRPr="00834923">
        <w:rPr>
          <w:spacing w:val="-8"/>
        </w:rPr>
        <w:t xml:space="preserve"> </w:t>
      </w:r>
      <w:r w:rsidRPr="00834923">
        <w:t>Ve</w:t>
      </w:r>
      <w:r w:rsidRPr="00834923">
        <w:t>ndor.</w:t>
      </w:r>
    </w:p>
    <w:p w:rsidR="001C5CBC" w:rsidRPr="00834923" w:rsidRDefault="00834923">
      <w:pPr>
        <w:pStyle w:val="ListParagraph"/>
        <w:numPr>
          <w:ilvl w:val="1"/>
          <w:numId w:val="2"/>
        </w:numPr>
        <w:tabs>
          <w:tab w:val="left" w:pos="1808"/>
        </w:tabs>
        <w:ind w:right="923" w:firstLine="719"/>
      </w:pPr>
      <w:r w:rsidRPr="00834923">
        <w:t>For vendors whose principal place of business is outside of Florida, such vendors</w:t>
      </w:r>
      <w:r w:rsidRPr="00834923">
        <w:rPr>
          <w:spacing w:val="-24"/>
        </w:rPr>
        <w:t xml:space="preserve"> </w:t>
      </w:r>
      <w:r w:rsidRPr="00834923">
        <w:t>must, at the time of submitting its bid, proposal or reply, provide a written opinion from a licensed attorney in its state specifying: (a) the preferences(s) granted b</w:t>
      </w:r>
      <w:r w:rsidRPr="00834923">
        <w:t>y the state or political subdivision, as applicable, under the laws of that state to vendors whose principal place of business is in that state or political subdivision; and (b) how the preference is calculated. The failure to submit the written opinion ma</w:t>
      </w:r>
      <w:r w:rsidRPr="00834923">
        <w:t>y be waived as non-material if all vendors responding to the solicitation have principal places of business outside of</w:t>
      </w:r>
      <w:r w:rsidRPr="00834923">
        <w:rPr>
          <w:spacing w:val="4"/>
        </w:rPr>
        <w:t xml:space="preserve"> </w:t>
      </w:r>
      <w:r w:rsidRPr="00834923">
        <w:t>Florida.</w:t>
      </w:r>
    </w:p>
    <w:p w:rsidR="001C5CBC" w:rsidRPr="00834923" w:rsidRDefault="00834923">
      <w:pPr>
        <w:pStyle w:val="ListParagraph"/>
        <w:numPr>
          <w:ilvl w:val="1"/>
          <w:numId w:val="2"/>
        </w:numPr>
        <w:tabs>
          <w:tab w:val="left" w:pos="1806"/>
        </w:tabs>
        <w:ind w:right="859" w:firstLine="719"/>
      </w:pPr>
      <w:r w:rsidRPr="00834923">
        <w:t>The vendor’s principal place of business, as represented by the vendor in its bid or reply, may be relied upon by the University</w:t>
      </w:r>
      <w:r w:rsidRPr="00834923">
        <w:t xml:space="preserve"> without further inquiry. If the University determines that a vendor has misrepresented its principal place of business, the vendor’s bid, proposal or reply shall be</w:t>
      </w:r>
      <w:r w:rsidRPr="00834923">
        <w:rPr>
          <w:spacing w:val="-1"/>
        </w:rPr>
        <w:t xml:space="preserve"> </w:t>
      </w:r>
      <w:r w:rsidRPr="00834923">
        <w:t>rejected.</w:t>
      </w:r>
    </w:p>
    <w:p w:rsidR="001C5CBC" w:rsidRPr="00834923" w:rsidRDefault="00834923">
      <w:pPr>
        <w:pStyle w:val="ListParagraph"/>
        <w:numPr>
          <w:ilvl w:val="1"/>
          <w:numId w:val="2"/>
        </w:numPr>
        <w:tabs>
          <w:tab w:val="left" w:pos="1808"/>
        </w:tabs>
        <w:spacing w:before="1"/>
        <w:ind w:right="1004" w:firstLine="719"/>
      </w:pPr>
      <w:r w:rsidRPr="00834923">
        <w:t>For the purpose of paragraph (3)(a), “personal property” shall be defined as goods and commodities, but not real estate, intellectual property or</w:t>
      </w:r>
      <w:r w:rsidRPr="00834923">
        <w:rPr>
          <w:spacing w:val="-6"/>
        </w:rPr>
        <w:t xml:space="preserve"> </w:t>
      </w:r>
      <w:r w:rsidRPr="00834923">
        <w:t>services.</w:t>
      </w:r>
    </w:p>
    <w:p w:rsidR="001C5CBC" w:rsidRPr="00834923" w:rsidRDefault="001C5CBC">
      <w:pPr>
        <w:pStyle w:val="BodyText"/>
        <w:ind w:left="0"/>
      </w:pPr>
    </w:p>
    <w:p w:rsidR="001C5CBC" w:rsidRPr="00834923" w:rsidRDefault="00834923">
      <w:pPr>
        <w:pStyle w:val="ListParagraph"/>
        <w:numPr>
          <w:ilvl w:val="0"/>
          <w:numId w:val="2"/>
        </w:numPr>
        <w:tabs>
          <w:tab w:val="left" w:pos="1174"/>
        </w:tabs>
        <w:ind w:right="1127" w:firstLine="0"/>
      </w:pPr>
      <w:r w:rsidRPr="00834923">
        <w:t>Preferences for Printing. When</w:t>
      </w:r>
      <w:r w:rsidRPr="00834923">
        <w:rPr>
          <w:color w:val="0000FF"/>
        </w:rPr>
        <w:t xml:space="preserve"> </w:t>
      </w:r>
      <w:proofErr w:type="gramStart"/>
      <w:r w:rsidRPr="00834923">
        <w:rPr>
          <w:strike/>
          <w:color w:val="0000FF"/>
        </w:rPr>
        <w:t>a</w:t>
      </w:r>
      <w:r w:rsidRPr="00834923">
        <w:rPr>
          <w:color w:val="0000FF"/>
        </w:rPr>
        <w:t xml:space="preserve"> </w:t>
      </w:r>
      <w:r w:rsidRPr="00834923">
        <w:rPr>
          <w:color w:val="0000FF"/>
        </w:rPr>
        <w:t>the</w:t>
      </w:r>
      <w:proofErr w:type="gramEnd"/>
      <w:r w:rsidRPr="00834923">
        <w:rPr>
          <w:color w:val="0000FF"/>
        </w:rPr>
        <w:t xml:space="preserve"> </w:t>
      </w:r>
      <w:r w:rsidRPr="00834923">
        <w:t>University purchases printed materials by competitive solicit</w:t>
      </w:r>
      <w:r w:rsidRPr="00834923">
        <w:t>ation pursuant to paragraph (2) of this regulation, a preference shall be provided Resident Vendors as</w:t>
      </w:r>
      <w:r w:rsidRPr="00834923">
        <w:rPr>
          <w:spacing w:val="-4"/>
        </w:rPr>
        <w:t xml:space="preserve"> </w:t>
      </w:r>
      <w:r w:rsidRPr="00834923">
        <w:t>follows:</w:t>
      </w:r>
    </w:p>
    <w:p w:rsidR="001C5CBC" w:rsidRPr="00834923" w:rsidRDefault="00834923">
      <w:pPr>
        <w:pStyle w:val="ListParagraph"/>
        <w:numPr>
          <w:ilvl w:val="1"/>
          <w:numId w:val="2"/>
        </w:numPr>
        <w:tabs>
          <w:tab w:val="left" w:pos="1806"/>
        </w:tabs>
        <w:ind w:left="931" w:right="1017" w:firstLine="628"/>
      </w:pPr>
      <w:r w:rsidRPr="00834923">
        <w:t>If the lowest responsible and responsive bid received pursuant to an Invitation to Bid is from a vendor whose principal place of business is out</w:t>
      </w:r>
      <w:r w:rsidRPr="00834923">
        <w:t>side of Florida, then the University shall grant a preference to the lowest responsible and responsive Resident Vendor in the amount of five percent (5%) if the University has determined that the printing can be performed by the Resident Vendors at a level</w:t>
      </w:r>
      <w:r w:rsidRPr="00834923">
        <w:t xml:space="preserve"> of quality comparable to that obtainable from the vendor submitting the lowest bid whose principal place of business is outside of</w:t>
      </w:r>
      <w:r w:rsidRPr="00834923">
        <w:rPr>
          <w:spacing w:val="2"/>
        </w:rPr>
        <w:t xml:space="preserve"> </w:t>
      </w:r>
      <w:r w:rsidRPr="00834923">
        <w:t>Florida.</w:t>
      </w:r>
    </w:p>
    <w:p w:rsidR="001C5CBC" w:rsidRPr="00834923" w:rsidRDefault="001C5CBC">
      <w:pPr>
        <w:sectPr w:rsidR="001C5CBC" w:rsidRPr="00834923">
          <w:pgSz w:w="12240" w:h="15840"/>
          <w:pgMar w:top="1500" w:right="520" w:bottom="280" w:left="480" w:header="720" w:footer="720" w:gutter="0"/>
          <w:cols w:space="720"/>
        </w:sectPr>
      </w:pPr>
    </w:p>
    <w:p w:rsidR="001C5CBC" w:rsidRPr="00834923" w:rsidRDefault="00834923">
      <w:pPr>
        <w:pStyle w:val="ListParagraph"/>
        <w:numPr>
          <w:ilvl w:val="1"/>
          <w:numId w:val="2"/>
        </w:numPr>
        <w:tabs>
          <w:tab w:val="left" w:pos="1899"/>
        </w:tabs>
        <w:spacing w:before="78"/>
        <w:ind w:left="931" w:right="872" w:firstLine="719"/>
      </w:pPr>
      <w:r w:rsidRPr="00834923">
        <w:lastRenderedPageBreak/>
        <w:t>For purposes of subparagraph 3(b)(1), the level of quality shall be determined by whether a vendor satisf</w:t>
      </w:r>
      <w:r w:rsidRPr="00834923">
        <w:t xml:space="preserve">ies the minimum specification requirements as set forth in the Invitation to </w:t>
      </w:r>
      <w:proofErr w:type="gramStart"/>
      <w:r w:rsidRPr="00834923">
        <w:t>Bid</w:t>
      </w:r>
      <w:r w:rsidRPr="00834923">
        <w:rPr>
          <w:spacing w:val="-1"/>
        </w:rPr>
        <w:t xml:space="preserve"> </w:t>
      </w:r>
      <w:r w:rsidRPr="00834923">
        <w:t>.</w:t>
      </w:r>
      <w:proofErr w:type="gramEnd"/>
    </w:p>
    <w:p w:rsidR="001C5CBC" w:rsidRPr="00834923" w:rsidRDefault="00834923">
      <w:pPr>
        <w:pStyle w:val="ListParagraph"/>
        <w:numPr>
          <w:ilvl w:val="0"/>
          <w:numId w:val="2"/>
        </w:numPr>
        <w:tabs>
          <w:tab w:val="left" w:pos="1160"/>
        </w:tabs>
        <w:spacing w:line="252" w:lineRule="exact"/>
        <w:ind w:left="1159" w:hanging="320"/>
      </w:pPr>
      <w:r w:rsidRPr="00834923">
        <w:t>Method of Calculating Five Percent</w:t>
      </w:r>
      <w:r w:rsidRPr="00834923">
        <w:rPr>
          <w:spacing w:val="5"/>
        </w:rPr>
        <w:t xml:space="preserve"> </w:t>
      </w:r>
      <w:r w:rsidRPr="00834923">
        <w:t>Preference.</w:t>
      </w:r>
    </w:p>
    <w:p w:rsidR="001C5CBC" w:rsidRPr="00834923" w:rsidRDefault="00834923">
      <w:pPr>
        <w:pStyle w:val="ListParagraph"/>
        <w:numPr>
          <w:ilvl w:val="1"/>
          <w:numId w:val="2"/>
        </w:numPr>
        <w:tabs>
          <w:tab w:val="left" w:pos="1806"/>
        </w:tabs>
        <w:ind w:right="896" w:firstLine="719"/>
      </w:pPr>
      <w:r w:rsidRPr="00834923">
        <w:t>If the competitive solicitation is an Invitation to Bid, then an amount equal to five percent (5%) of the total base bid and any alternates shall be deducted from the base bid and alternates, as applicable, of the lowest responsible and responsive Resident</w:t>
      </w:r>
      <w:r w:rsidRPr="00834923">
        <w:t xml:space="preserve"> Vendor’s</w:t>
      </w:r>
      <w:r w:rsidRPr="00834923">
        <w:rPr>
          <w:spacing w:val="-12"/>
        </w:rPr>
        <w:t xml:space="preserve"> </w:t>
      </w:r>
      <w:r w:rsidRPr="00834923">
        <w:t>bid.</w:t>
      </w:r>
    </w:p>
    <w:p w:rsidR="001C5CBC" w:rsidRPr="00834923" w:rsidRDefault="001C5CBC">
      <w:pPr>
        <w:pStyle w:val="BodyText"/>
        <w:ind w:left="0"/>
      </w:pPr>
    </w:p>
    <w:p w:rsidR="001C5CBC" w:rsidRPr="00834923" w:rsidRDefault="00834923">
      <w:pPr>
        <w:pStyle w:val="ListParagraph"/>
        <w:numPr>
          <w:ilvl w:val="0"/>
          <w:numId w:val="2"/>
        </w:numPr>
        <w:tabs>
          <w:tab w:val="left" w:pos="1174"/>
        </w:tabs>
        <w:spacing w:before="1"/>
        <w:ind w:right="880" w:firstLine="0"/>
      </w:pPr>
      <w:r w:rsidRPr="00834923">
        <w:t>Determining a Vendor’s Principal Place of Business. A vendor’s “principal place of business” is determined as</w:t>
      </w:r>
      <w:r w:rsidRPr="00834923">
        <w:rPr>
          <w:spacing w:val="-5"/>
        </w:rPr>
        <w:t xml:space="preserve"> </w:t>
      </w:r>
      <w:r w:rsidRPr="00834923">
        <w:t>follows:</w:t>
      </w:r>
    </w:p>
    <w:p w:rsidR="001C5CBC" w:rsidRPr="00834923" w:rsidRDefault="00834923">
      <w:pPr>
        <w:pStyle w:val="ListParagraph"/>
        <w:numPr>
          <w:ilvl w:val="1"/>
          <w:numId w:val="2"/>
        </w:numPr>
        <w:tabs>
          <w:tab w:val="left" w:pos="1806"/>
        </w:tabs>
        <w:ind w:right="1782" w:firstLine="719"/>
      </w:pPr>
      <w:r w:rsidRPr="00834923">
        <w:t>If the vendor is an individual or a sole proprietorship, then its</w:t>
      </w:r>
      <w:r w:rsidRPr="00834923">
        <w:rPr>
          <w:spacing w:val="-45"/>
        </w:rPr>
        <w:t xml:space="preserve"> </w:t>
      </w:r>
      <w:r w:rsidRPr="00834923">
        <w:t>“principal place of business” is in the state where the</w:t>
      </w:r>
      <w:r w:rsidRPr="00834923">
        <w:t xml:space="preserve"> vendor’s primary residence is</w:t>
      </w:r>
      <w:r w:rsidRPr="00834923">
        <w:rPr>
          <w:spacing w:val="-19"/>
        </w:rPr>
        <w:t xml:space="preserve"> </w:t>
      </w:r>
      <w:r w:rsidRPr="00834923">
        <w:t>located.</w:t>
      </w:r>
    </w:p>
    <w:p w:rsidR="001C5CBC" w:rsidRPr="00834923" w:rsidRDefault="00834923">
      <w:pPr>
        <w:pStyle w:val="ListParagraph"/>
        <w:numPr>
          <w:ilvl w:val="1"/>
          <w:numId w:val="2"/>
        </w:numPr>
        <w:tabs>
          <w:tab w:val="left" w:pos="1806"/>
        </w:tabs>
        <w:ind w:right="986" w:firstLine="719"/>
      </w:pPr>
      <w:r w:rsidRPr="00834923">
        <w:t>If the vendor is a business organization, then its “principal place of business” is in the state</w:t>
      </w:r>
      <w:r w:rsidRPr="00834923">
        <w:rPr>
          <w:spacing w:val="-5"/>
        </w:rPr>
        <w:t xml:space="preserve"> </w:t>
      </w:r>
      <w:r w:rsidRPr="00834923">
        <w:t>where</w:t>
      </w:r>
      <w:r w:rsidRPr="00834923">
        <w:rPr>
          <w:spacing w:val="-3"/>
        </w:rPr>
        <w:t xml:space="preserve"> </w:t>
      </w:r>
      <w:proofErr w:type="gramStart"/>
      <w:r w:rsidRPr="00834923">
        <w:t>the</w:t>
      </w:r>
      <w:r w:rsidRPr="00834923">
        <w:rPr>
          <w:spacing w:val="-5"/>
        </w:rPr>
        <w:t xml:space="preserve"> </w:t>
      </w:r>
      <w:r w:rsidRPr="00834923">
        <w:t>majority</w:t>
      </w:r>
      <w:r w:rsidRPr="00834923">
        <w:rPr>
          <w:spacing w:val="-5"/>
        </w:rPr>
        <w:t xml:space="preserve"> </w:t>
      </w:r>
      <w:r w:rsidRPr="00834923">
        <w:t>of</w:t>
      </w:r>
      <w:proofErr w:type="gramEnd"/>
      <w:r w:rsidRPr="00834923">
        <w:rPr>
          <w:spacing w:val="-1"/>
        </w:rPr>
        <w:t xml:space="preserve"> </w:t>
      </w:r>
      <w:r w:rsidRPr="00834923">
        <w:t>the</w:t>
      </w:r>
      <w:r w:rsidRPr="00834923">
        <w:rPr>
          <w:spacing w:val="-3"/>
        </w:rPr>
        <w:t xml:space="preserve"> </w:t>
      </w:r>
      <w:r w:rsidRPr="00834923">
        <w:t>vendor’s</w:t>
      </w:r>
      <w:r w:rsidRPr="00834923">
        <w:rPr>
          <w:spacing w:val="-2"/>
        </w:rPr>
        <w:t xml:space="preserve"> </w:t>
      </w:r>
      <w:r w:rsidRPr="00834923">
        <w:t>executive</w:t>
      </w:r>
      <w:r w:rsidRPr="00834923">
        <w:rPr>
          <w:spacing w:val="-3"/>
        </w:rPr>
        <w:t xml:space="preserve"> </w:t>
      </w:r>
      <w:r w:rsidRPr="00834923">
        <w:t>officers</w:t>
      </w:r>
      <w:r w:rsidRPr="00834923">
        <w:rPr>
          <w:spacing w:val="-5"/>
        </w:rPr>
        <w:t xml:space="preserve"> </w:t>
      </w:r>
      <w:r w:rsidRPr="00834923">
        <w:t>direct</w:t>
      </w:r>
      <w:r w:rsidRPr="00834923">
        <w:rPr>
          <w:spacing w:val="-4"/>
        </w:rPr>
        <w:t xml:space="preserve"> </w:t>
      </w:r>
      <w:r w:rsidRPr="00834923">
        <w:t>the</w:t>
      </w:r>
      <w:r w:rsidRPr="00834923">
        <w:rPr>
          <w:spacing w:val="-5"/>
        </w:rPr>
        <w:t xml:space="preserve"> </w:t>
      </w:r>
      <w:r w:rsidRPr="00834923">
        <w:t>management</w:t>
      </w:r>
      <w:r w:rsidRPr="00834923">
        <w:rPr>
          <w:spacing w:val="-4"/>
        </w:rPr>
        <w:t xml:space="preserve"> </w:t>
      </w:r>
      <w:r w:rsidRPr="00834923">
        <w:t>of</w:t>
      </w:r>
      <w:r w:rsidRPr="00834923">
        <w:rPr>
          <w:spacing w:val="-1"/>
        </w:rPr>
        <w:t xml:space="preserve"> </w:t>
      </w:r>
      <w:r w:rsidRPr="00834923">
        <w:t>the</w:t>
      </w:r>
      <w:r w:rsidRPr="00834923">
        <w:rPr>
          <w:spacing w:val="-5"/>
        </w:rPr>
        <w:t xml:space="preserve"> </w:t>
      </w:r>
      <w:r w:rsidRPr="00834923">
        <w:t>vendor’s business affairs.</w:t>
      </w:r>
    </w:p>
    <w:p w:rsidR="001C5CBC" w:rsidRPr="00834923" w:rsidRDefault="001C5CBC">
      <w:pPr>
        <w:pStyle w:val="BodyText"/>
        <w:spacing w:before="11"/>
        <w:ind w:left="0"/>
        <w:rPr>
          <w:sz w:val="21"/>
        </w:rPr>
      </w:pPr>
    </w:p>
    <w:p w:rsidR="001C5CBC" w:rsidRPr="00834923" w:rsidRDefault="00834923">
      <w:pPr>
        <w:pStyle w:val="ListParagraph"/>
        <w:numPr>
          <w:ilvl w:val="0"/>
          <w:numId w:val="2"/>
        </w:numPr>
        <w:tabs>
          <w:tab w:val="left" w:pos="1174"/>
        </w:tabs>
        <w:ind w:right="958" w:firstLine="0"/>
      </w:pPr>
      <w:r w:rsidRPr="00834923">
        <w:t>Federally Funded Projects. Purchases made to perform specific obligations under federally funded projects shall not be subject to this preference requirement to the extent the application</w:t>
      </w:r>
      <w:r w:rsidRPr="00834923">
        <w:rPr>
          <w:spacing w:val="-33"/>
        </w:rPr>
        <w:t xml:space="preserve"> </w:t>
      </w:r>
      <w:r w:rsidRPr="00834923">
        <w:t>of a preference is not allowed under app</w:t>
      </w:r>
      <w:r w:rsidRPr="00834923">
        <w:t>licable federal law or</w:t>
      </w:r>
      <w:r w:rsidRPr="00834923">
        <w:rPr>
          <w:spacing w:val="-8"/>
        </w:rPr>
        <w:t xml:space="preserve"> </w:t>
      </w:r>
      <w:r w:rsidRPr="00834923">
        <w:t>regulation.</w:t>
      </w:r>
    </w:p>
    <w:p w:rsidR="001C5CBC" w:rsidRPr="00834923" w:rsidRDefault="001C5CBC">
      <w:pPr>
        <w:pStyle w:val="BodyText"/>
        <w:spacing w:before="10"/>
        <w:ind w:left="0"/>
        <w:rPr>
          <w:sz w:val="21"/>
        </w:rPr>
      </w:pPr>
    </w:p>
    <w:p w:rsidR="001C5CBC" w:rsidRPr="00834923" w:rsidRDefault="00834923">
      <w:pPr>
        <w:pStyle w:val="ListParagraph"/>
        <w:numPr>
          <w:ilvl w:val="0"/>
          <w:numId w:val="3"/>
        </w:numPr>
        <w:tabs>
          <w:tab w:val="left" w:pos="1175"/>
        </w:tabs>
        <w:ind w:right="1040" w:firstLine="0"/>
        <w:jc w:val="left"/>
      </w:pPr>
      <w:r w:rsidRPr="00834923">
        <w:rPr>
          <w:b/>
        </w:rPr>
        <w:t>Exceptional Purchases</w:t>
      </w:r>
      <w:r w:rsidRPr="00834923">
        <w:t>.</w:t>
      </w:r>
      <w:r w:rsidRPr="00834923">
        <w:rPr>
          <w:color w:val="0000FF"/>
        </w:rPr>
        <w:t xml:space="preserve"> </w:t>
      </w:r>
      <w:r w:rsidRPr="00834923">
        <w:rPr>
          <w:strike/>
          <w:color w:val="0000FF"/>
        </w:rPr>
        <w:t>Each</w:t>
      </w:r>
      <w:r w:rsidRPr="00834923">
        <w:rPr>
          <w:color w:val="0000FF"/>
        </w:rPr>
        <w:t xml:space="preserve"> </w:t>
      </w:r>
      <w:proofErr w:type="gramStart"/>
      <w:r w:rsidRPr="00834923">
        <w:rPr>
          <w:color w:val="0000FF"/>
        </w:rPr>
        <w:t>The</w:t>
      </w:r>
      <w:proofErr w:type="gramEnd"/>
      <w:r w:rsidRPr="00834923">
        <w:rPr>
          <w:color w:val="0000FF"/>
        </w:rPr>
        <w:t xml:space="preserve"> </w:t>
      </w:r>
      <w:proofErr w:type="spellStart"/>
      <w:r w:rsidRPr="00834923">
        <w:rPr>
          <w:color w:val="0000FF"/>
        </w:rPr>
        <w:t>U</w:t>
      </w:r>
      <w:r w:rsidRPr="00834923">
        <w:rPr>
          <w:strike/>
          <w:color w:val="0000FF"/>
        </w:rPr>
        <w:t>u</w:t>
      </w:r>
      <w:r w:rsidRPr="00834923">
        <w:t>niversity</w:t>
      </w:r>
      <w:proofErr w:type="spellEnd"/>
      <w:r w:rsidRPr="00834923">
        <w:t xml:space="preserve"> is authorized to make exceptional</w:t>
      </w:r>
      <w:r w:rsidRPr="00834923">
        <w:rPr>
          <w:spacing w:val="-25"/>
        </w:rPr>
        <w:t xml:space="preserve"> </w:t>
      </w:r>
      <w:r w:rsidRPr="00834923">
        <w:t>purchases of commodities or contractual services as</w:t>
      </w:r>
      <w:r w:rsidRPr="00834923">
        <w:rPr>
          <w:spacing w:val="2"/>
        </w:rPr>
        <w:t xml:space="preserve"> </w:t>
      </w:r>
      <w:r w:rsidRPr="00834923">
        <w:t>follows:</w:t>
      </w:r>
    </w:p>
    <w:p w:rsidR="001C5CBC" w:rsidRPr="00834923" w:rsidRDefault="00834923">
      <w:pPr>
        <w:pStyle w:val="ListParagraph"/>
        <w:numPr>
          <w:ilvl w:val="1"/>
          <w:numId w:val="3"/>
        </w:numPr>
        <w:tabs>
          <w:tab w:val="left" w:pos="1894"/>
        </w:tabs>
        <w:spacing w:before="3"/>
        <w:ind w:right="978" w:firstLine="719"/>
      </w:pPr>
      <w:r w:rsidRPr="00834923">
        <w:t>Purchase of Products with Recycled Content.</w:t>
      </w:r>
      <w:r w:rsidRPr="00834923">
        <w:rPr>
          <w:color w:val="0000FF"/>
        </w:rPr>
        <w:t xml:space="preserve"> </w:t>
      </w:r>
      <w:r w:rsidRPr="00834923">
        <w:rPr>
          <w:strike/>
          <w:color w:val="0000FF"/>
        </w:rPr>
        <w:t>Each</w:t>
      </w:r>
      <w:r w:rsidRPr="00834923">
        <w:rPr>
          <w:color w:val="0000FF"/>
        </w:rPr>
        <w:t xml:space="preserve"> </w:t>
      </w:r>
      <w:proofErr w:type="gramStart"/>
      <w:r w:rsidRPr="00834923">
        <w:rPr>
          <w:color w:val="0000FF"/>
        </w:rPr>
        <w:t>The</w:t>
      </w:r>
      <w:proofErr w:type="gramEnd"/>
      <w:r w:rsidRPr="00834923">
        <w:rPr>
          <w:color w:val="0000FF"/>
        </w:rPr>
        <w:t xml:space="preserve"> </w:t>
      </w:r>
      <w:r w:rsidRPr="00834923">
        <w:t>University may establish a program to encourage the purchase and use of products and materials with recycled content and postconsumer recovered</w:t>
      </w:r>
      <w:r w:rsidRPr="00834923">
        <w:rPr>
          <w:spacing w:val="-4"/>
        </w:rPr>
        <w:t xml:space="preserve"> </w:t>
      </w:r>
      <w:r w:rsidRPr="00834923">
        <w:t>material.</w:t>
      </w:r>
    </w:p>
    <w:p w:rsidR="001C5CBC" w:rsidRPr="00834923" w:rsidRDefault="00834923">
      <w:pPr>
        <w:pStyle w:val="ListParagraph"/>
        <w:numPr>
          <w:ilvl w:val="1"/>
          <w:numId w:val="3"/>
        </w:numPr>
        <w:tabs>
          <w:tab w:val="left" w:pos="1894"/>
        </w:tabs>
        <w:ind w:right="1107" w:firstLine="719"/>
      </w:pPr>
      <w:r w:rsidRPr="00834923">
        <w:t>Purchase of Private Attorney Services. Written ap</w:t>
      </w:r>
      <w:r w:rsidRPr="00834923">
        <w:t>proval from the Attorney General</w:t>
      </w:r>
      <w:r w:rsidRPr="00834923">
        <w:rPr>
          <w:spacing w:val="-25"/>
        </w:rPr>
        <w:t xml:space="preserve"> </w:t>
      </w:r>
      <w:r w:rsidRPr="00834923">
        <w:t>is not required for private attorney services acquired by the</w:t>
      </w:r>
      <w:r w:rsidRPr="00834923">
        <w:rPr>
          <w:spacing w:val="-11"/>
        </w:rPr>
        <w:t xml:space="preserve"> </w:t>
      </w:r>
      <w:r w:rsidRPr="00834923">
        <w:t>University.</w:t>
      </w:r>
    </w:p>
    <w:p w:rsidR="001C5CBC" w:rsidRPr="00834923" w:rsidRDefault="00834923">
      <w:pPr>
        <w:pStyle w:val="ListParagraph"/>
        <w:numPr>
          <w:ilvl w:val="1"/>
          <w:numId w:val="3"/>
        </w:numPr>
        <w:tabs>
          <w:tab w:val="left" w:pos="1880"/>
        </w:tabs>
        <w:ind w:right="931" w:firstLine="719"/>
      </w:pPr>
      <w:r w:rsidRPr="00834923">
        <w:t>Purchase of Insurance.</w:t>
      </w:r>
      <w:r w:rsidRPr="00834923">
        <w:rPr>
          <w:color w:val="0000FF"/>
        </w:rPr>
        <w:t xml:space="preserve"> </w:t>
      </w:r>
      <w:r w:rsidRPr="00834923">
        <w:rPr>
          <w:strike/>
          <w:color w:val="0000FF"/>
        </w:rPr>
        <w:t>Each</w:t>
      </w:r>
      <w:r w:rsidRPr="00834923">
        <w:rPr>
          <w:color w:val="0000FF"/>
        </w:rPr>
        <w:t xml:space="preserve"> </w:t>
      </w:r>
      <w:proofErr w:type="gramStart"/>
      <w:r w:rsidRPr="00834923">
        <w:rPr>
          <w:color w:val="0000FF"/>
        </w:rPr>
        <w:t>The</w:t>
      </w:r>
      <w:proofErr w:type="gramEnd"/>
      <w:r w:rsidRPr="00834923">
        <w:rPr>
          <w:color w:val="0000FF"/>
        </w:rPr>
        <w:t xml:space="preserve"> </w:t>
      </w:r>
      <w:r w:rsidRPr="00834923">
        <w:t>University shall have the authority to purchase insurance as deemed necessary and appropriate for the operation and educational mission of the University.</w:t>
      </w:r>
    </w:p>
    <w:p w:rsidR="001C5CBC" w:rsidRPr="00834923" w:rsidRDefault="00834923">
      <w:pPr>
        <w:pStyle w:val="ListParagraph"/>
        <w:numPr>
          <w:ilvl w:val="1"/>
          <w:numId w:val="3"/>
        </w:numPr>
        <w:tabs>
          <w:tab w:val="left" w:pos="1894"/>
        </w:tabs>
        <w:ind w:right="886" w:firstLine="719"/>
      </w:pPr>
      <w:r w:rsidRPr="00834923">
        <w:t>Purchase of Printing. However, if</w:t>
      </w:r>
      <w:r w:rsidRPr="00834923">
        <w:rPr>
          <w:color w:val="0000FF"/>
        </w:rPr>
        <w:t xml:space="preserve"> </w:t>
      </w:r>
      <w:proofErr w:type="gramStart"/>
      <w:r w:rsidRPr="00834923">
        <w:rPr>
          <w:strike/>
          <w:color w:val="0000FF"/>
        </w:rPr>
        <w:t>a</w:t>
      </w:r>
      <w:r w:rsidRPr="00834923">
        <w:rPr>
          <w:color w:val="0000FF"/>
        </w:rPr>
        <w:t xml:space="preserve"> </w:t>
      </w:r>
      <w:r w:rsidRPr="00834923">
        <w:rPr>
          <w:color w:val="0000FF"/>
        </w:rPr>
        <w:t>the</w:t>
      </w:r>
      <w:proofErr w:type="gramEnd"/>
      <w:r w:rsidRPr="00834923">
        <w:rPr>
          <w:color w:val="0000FF"/>
        </w:rPr>
        <w:t xml:space="preserve"> </w:t>
      </w:r>
      <w:r w:rsidRPr="00834923">
        <w:t>University determines that it is in the best interests of th</w:t>
      </w:r>
      <w:r w:rsidRPr="00834923">
        <w:t>e University to purchase printed materials through a competitive solicitation</w:t>
      </w:r>
      <w:r w:rsidRPr="00834923">
        <w:rPr>
          <w:spacing w:val="-34"/>
        </w:rPr>
        <w:t xml:space="preserve"> </w:t>
      </w:r>
      <w:r w:rsidRPr="00834923">
        <w:t>process, the preference provision in paragraph (3)(b) shall</w:t>
      </w:r>
      <w:r w:rsidRPr="00834923">
        <w:rPr>
          <w:spacing w:val="-6"/>
        </w:rPr>
        <w:t xml:space="preserve"> </w:t>
      </w:r>
      <w:r w:rsidRPr="00834923">
        <w:t>apply.</w:t>
      </w:r>
    </w:p>
    <w:p w:rsidR="001C5CBC" w:rsidRPr="00834923" w:rsidRDefault="001C5CBC">
      <w:pPr>
        <w:pStyle w:val="BodyText"/>
        <w:spacing w:before="9"/>
        <w:ind w:left="0"/>
        <w:rPr>
          <w:sz w:val="21"/>
        </w:rPr>
      </w:pPr>
    </w:p>
    <w:p w:rsidR="001C5CBC" w:rsidRPr="00834923" w:rsidRDefault="00834923">
      <w:pPr>
        <w:pStyle w:val="ListParagraph"/>
        <w:numPr>
          <w:ilvl w:val="0"/>
          <w:numId w:val="3"/>
        </w:numPr>
        <w:tabs>
          <w:tab w:val="left" w:pos="1175"/>
        </w:tabs>
        <w:spacing w:before="1"/>
        <w:ind w:right="883" w:firstLine="0"/>
        <w:jc w:val="left"/>
      </w:pPr>
      <w:r w:rsidRPr="00834923">
        <w:rPr>
          <w:b/>
        </w:rPr>
        <w:t>Purchases from Contractors Convicted of Public Entity Crimes.</w:t>
      </w:r>
      <w:r w:rsidRPr="00834923">
        <w:rPr>
          <w:b/>
          <w:strike/>
          <w:color w:val="0000FF"/>
        </w:rPr>
        <w:t xml:space="preserve"> </w:t>
      </w:r>
      <w:r w:rsidRPr="00834923">
        <w:rPr>
          <w:strike/>
          <w:color w:val="0000FF"/>
        </w:rPr>
        <w:t>A</w:t>
      </w:r>
      <w:r w:rsidRPr="00834923">
        <w:rPr>
          <w:color w:val="0000FF"/>
        </w:rPr>
        <w:t xml:space="preserve"> </w:t>
      </w:r>
      <w:proofErr w:type="gramStart"/>
      <w:r w:rsidRPr="00834923">
        <w:rPr>
          <w:color w:val="0000FF"/>
        </w:rPr>
        <w:t>The</w:t>
      </w:r>
      <w:proofErr w:type="gramEnd"/>
      <w:r w:rsidRPr="00834923">
        <w:rPr>
          <w:color w:val="0000FF"/>
        </w:rPr>
        <w:t xml:space="preserve"> </w:t>
      </w:r>
      <w:r w:rsidRPr="00834923">
        <w:t>University shall</w:t>
      </w:r>
      <w:r w:rsidRPr="00834923">
        <w:rPr>
          <w:spacing w:val="-25"/>
        </w:rPr>
        <w:t xml:space="preserve"> </w:t>
      </w:r>
      <w:r w:rsidRPr="00834923">
        <w:t>not accept a competitive</w:t>
      </w:r>
      <w:r w:rsidRPr="00834923">
        <w:t xml:space="preserve"> solicitation from or purchase commodities or contractual services from a person or affiliate who has been convicted of a public entity crime and has been placed on the State of Florida’s convicted vendor list for a period of 36 months from the date of bei</w:t>
      </w:r>
      <w:r w:rsidRPr="00834923">
        <w:t>ng added to the convicted vendor</w:t>
      </w:r>
      <w:r w:rsidRPr="00834923">
        <w:rPr>
          <w:spacing w:val="-2"/>
        </w:rPr>
        <w:t xml:space="preserve"> </w:t>
      </w:r>
      <w:r w:rsidRPr="00834923">
        <w:t>list.</w:t>
      </w:r>
    </w:p>
    <w:p w:rsidR="001C5CBC" w:rsidRPr="00834923" w:rsidRDefault="001C5CBC">
      <w:pPr>
        <w:pStyle w:val="BodyText"/>
        <w:spacing w:before="10"/>
        <w:ind w:left="0"/>
        <w:rPr>
          <w:sz w:val="21"/>
        </w:rPr>
      </w:pPr>
    </w:p>
    <w:p w:rsidR="001C5CBC" w:rsidRPr="00834923" w:rsidRDefault="00834923">
      <w:pPr>
        <w:pStyle w:val="ListParagraph"/>
        <w:numPr>
          <w:ilvl w:val="0"/>
          <w:numId w:val="3"/>
        </w:numPr>
        <w:tabs>
          <w:tab w:val="left" w:pos="1175"/>
        </w:tabs>
        <w:spacing w:line="242" w:lineRule="auto"/>
        <w:ind w:right="1278" w:firstLine="0"/>
        <w:jc w:val="left"/>
      </w:pPr>
      <w:r w:rsidRPr="00834923">
        <w:rPr>
          <w:b/>
        </w:rPr>
        <w:t xml:space="preserve">Competitive Solicitation Exceptions. </w:t>
      </w:r>
      <w:r w:rsidRPr="00834923">
        <w:t>The following types of purchasing actions, and commodities and contractual services purchases are not subject to the competitive</w:t>
      </w:r>
      <w:r w:rsidRPr="00834923">
        <w:rPr>
          <w:spacing w:val="-26"/>
        </w:rPr>
        <w:t xml:space="preserve"> </w:t>
      </w:r>
      <w:r w:rsidRPr="00834923">
        <w:t>solicitation process:</w:t>
      </w:r>
    </w:p>
    <w:p w:rsidR="001C5CBC" w:rsidRPr="00834923" w:rsidRDefault="00834923">
      <w:pPr>
        <w:pStyle w:val="ListParagraph"/>
        <w:numPr>
          <w:ilvl w:val="1"/>
          <w:numId w:val="3"/>
        </w:numPr>
        <w:tabs>
          <w:tab w:val="left" w:pos="1894"/>
        </w:tabs>
        <w:ind w:right="1022" w:firstLine="719"/>
      </w:pPr>
      <w:r w:rsidRPr="00834923">
        <w:t>Emergency Purchases. When</w:t>
      </w:r>
      <w:r w:rsidRPr="00834923">
        <w:rPr>
          <w:color w:val="0000FF"/>
        </w:rPr>
        <w:t xml:space="preserve"> </w:t>
      </w:r>
      <w:proofErr w:type="spellStart"/>
      <w:r w:rsidRPr="00834923">
        <w:rPr>
          <w:strike/>
          <w:color w:val="0000FF"/>
        </w:rPr>
        <w:t>a</w:t>
      </w:r>
      <w:r w:rsidRPr="00834923">
        <w:rPr>
          <w:color w:val="0000FF"/>
        </w:rPr>
        <w:t>the</w:t>
      </w:r>
      <w:proofErr w:type="spellEnd"/>
      <w:r w:rsidRPr="00834923">
        <w:rPr>
          <w:color w:val="0000FF"/>
        </w:rPr>
        <w:t xml:space="preserve"> </w:t>
      </w:r>
      <w:proofErr w:type="spellStart"/>
      <w:r w:rsidRPr="00834923">
        <w:rPr>
          <w:color w:val="0000FF"/>
        </w:rPr>
        <w:t>U</w:t>
      </w:r>
      <w:r w:rsidRPr="00834923">
        <w:rPr>
          <w:strike/>
          <w:color w:val="0000FF"/>
        </w:rPr>
        <w:t>u</w:t>
      </w:r>
      <w:r w:rsidRPr="00834923">
        <w:t>niversity</w:t>
      </w:r>
      <w:proofErr w:type="spellEnd"/>
      <w:r w:rsidRPr="00834923">
        <w:rPr>
          <w:color w:val="0000FF"/>
        </w:rPr>
        <w:t xml:space="preserve"> </w:t>
      </w:r>
      <w:proofErr w:type="spellStart"/>
      <w:r w:rsidRPr="00834923">
        <w:rPr>
          <w:color w:val="0000FF"/>
        </w:rPr>
        <w:t>P</w:t>
      </w:r>
      <w:r w:rsidRPr="00834923">
        <w:rPr>
          <w:strike/>
          <w:color w:val="0000FF"/>
        </w:rPr>
        <w:t>p</w:t>
      </w:r>
      <w:r w:rsidRPr="00834923">
        <w:t>resident</w:t>
      </w:r>
      <w:proofErr w:type="spellEnd"/>
      <w:r w:rsidRPr="00834923">
        <w:t xml:space="preserve"> or his/her designee determines, in writing, that the delay due to the competitive solicitation process is an immediate danger to the public health or safety or the welfare of the University, including University</w:t>
      </w:r>
      <w:r w:rsidRPr="00834923">
        <w:rPr>
          <w:spacing w:val="-33"/>
        </w:rPr>
        <w:t xml:space="preserve"> </w:t>
      </w:r>
      <w:r w:rsidRPr="00834923">
        <w:t xml:space="preserve">tangible and/or intangible assets; </w:t>
      </w:r>
      <w:r w:rsidRPr="00834923">
        <w:t>or would otherwise cause significant injury or harm not in the best interest of the University, the University may proceed with the procurement of commodities or contractual services without a competitive</w:t>
      </w:r>
      <w:r w:rsidRPr="00834923">
        <w:rPr>
          <w:spacing w:val="-2"/>
        </w:rPr>
        <w:t xml:space="preserve"> </w:t>
      </w:r>
      <w:r w:rsidRPr="00834923">
        <w:t>solicitation.</w:t>
      </w:r>
    </w:p>
    <w:p w:rsidR="001C5CBC" w:rsidRPr="00834923" w:rsidRDefault="00834923">
      <w:pPr>
        <w:pStyle w:val="ListParagraph"/>
        <w:numPr>
          <w:ilvl w:val="1"/>
          <w:numId w:val="3"/>
        </w:numPr>
        <w:tabs>
          <w:tab w:val="left" w:pos="1894"/>
        </w:tabs>
        <w:ind w:right="1130" w:firstLine="719"/>
      </w:pPr>
      <w:r w:rsidRPr="00834923">
        <w:t>Sole Source Purchases. Commodities or</w:t>
      </w:r>
      <w:r w:rsidRPr="00834923">
        <w:t xml:space="preserve"> contractual services available from a</w:t>
      </w:r>
      <w:r w:rsidRPr="00834923">
        <w:rPr>
          <w:spacing w:val="-26"/>
        </w:rPr>
        <w:t xml:space="preserve"> </w:t>
      </w:r>
      <w:r w:rsidRPr="00834923">
        <w:t>single source may be exempted from the competitive solicitation</w:t>
      </w:r>
      <w:r w:rsidRPr="00834923">
        <w:rPr>
          <w:spacing w:val="-11"/>
        </w:rPr>
        <w:t xml:space="preserve"> </w:t>
      </w:r>
      <w:r w:rsidRPr="00834923">
        <w:t>process.</w:t>
      </w:r>
    </w:p>
    <w:p w:rsidR="001C5CBC" w:rsidRPr="00834923" w:rsidRDefault="00834923">
      <w:pPr>
        <w:pStyle w:val="ListParagraph"/>
        <w:numPr>
          <w:ilvl w:val="1"/>
          <w:numId w:val="3"/>
        </w:numPr>
        <w:tabs>
          <w:tab w:val="left" w:pos="1880"/>
        </w:tabs>
        <w:ind w:right="872" w:firstLine="719"/>
      </w:pPr>
      <w:r w:rsidRPr="00834923">
        <w:t>Purchases from Contracts and Negotiated Annual Price Agreements established by the State of Florida, other governmental entities, other Universities in the State University System, or other independent colleges and universities are not subject to further c</w:t>
      </w:r>
      <w:r w:rsidRPr="00834923">
        <w:t>ompetitive</w:t>
      </w:r>
      <w:r w:rsidRPr="00834923">
        <w:rPr>
          <w:spacing w:val="-17"/>
        </w:rPr>
        <w:t xml:space="preserve"> </w:t>
      </w:r>
      <w:r w:rsidRPr="00834923">
        <w:t>solicitation.</w:t>
      </w:r>
    </w:p>
    <w:p w:rsidR="001C5CBC" w:rsidRPr="00834923" w:rsidRDefault="00834923">
      <w:pPr>
        <w:pStyle w:val="ListParagraph"/>
        <w:numPr>
          <w:ilvl w:val="1"/>
          <w:numId w:val="3"/>
        </w:numPr>
        <w:tabs>
          <w:tab w:val="left" w:pos="1892"/>
        </w:tabs>
        <w:ind w:right="1967" w:firstLine="719"/>
      </w:pPr>
      <w:r w:rsidRPr="00834923">
        <w:t>The following listed commodities and services are not subject to</w:t>
      </w:r>
      <w:r w:rsidRPr="00834923">
        <w:rPr>
          <w:spacing w:val="-26"/>
        </w:rPr>
        <w:t xml:space="preserve"> </w:t>
      </w:r>
      <w:r w:rsidRPr="00834923">
        <w:t>competitive solicitation:</w:t>
      </w:r>
    </w:p>
    <w:p w:rsidR="001C5CBC" w:rsidRPr="00834923" w:rsidRDefault="001C5CBC">
      <w:pPr>
        <w:sectPr w:rsidR="001C5CBC" w:rsidRPr="00834923">
          <w:pgSz w:w="12240" w:h="15840"/>
          <w:pgMar w:top="1280" w:right="520" w:bottom="0" w:left="480" w:header="720" w:footer="720" w:gutter="0"/>
          <w:cols w:space="720"/>
        </w:sectPr>
      </w:pPr>
    </w:p>
    <w:p w:rsidR="001C5CBC" w:rsidRPr="00834923" w:rsidRDefault="001C5CBC">
      <w:pPr>
        <w:pStyle w:val="BodyText"/>
        <w:spacing w:before="4"/>
        <w:ind w:left="0"/>
        <w:rPr>
          <w:sz w:val="23"/>
        </w:rPr>
      </w:pPr>
    </w:p>
    <w:p w:rsidR="001C5CBC" w:rsidRPr="00834923" w:rsidRDefault="00834923">
      <w:pPr>
        <w:pStyle w:val="ListParagraph"/>
        <w:numPr>
          <w:ilvl w:val="0"/>
          <w:numId w:val="1"/>
        </w:numPr>
        <w:tabs>
          <w:tab w:val="left" w:pos="1808"/>
        </w:tabs>
        <w:spacing w:before="94"/>
      </w:pPr>
      <w:r w:rsidRPr="00834923">
        <w:t>Artistic</w:t>
      </w:r>
      <w:r w:rsidRPr="00834923">
        <w:rPr>
          <w:spacing w:val="-3"/>
        </w:rPr>
        <w:t xml:space="preserve"> </w:t>
      </w:r>
      <w:r w:rsidRPr="00834923">
        <w:t>services;</w:t>
      </w:r>
    </w:p>
    <w:p w:rsidR="001C5CBC" w:rsidRPr="00834923" w:rsidRDefault="00834923">
      <w:pPr>
        <w:pStyle w:val="ListParagraph"/>
        <w:numPr>
          <w:ilvl w:val="0"/>
          <w:numId w:val="1"/>
        </w:numPr>
        <w:tabs>
          <w:tab w:val="left" w:pos="1808"/>
        </w:tabs>
        <w:spacing w:before="1" w:line="252" w:lineRule="exact"/>
      </w:pPr>
      <w:r w:rsidRPr="00834923">
        <w:t>Academic</w:t>
      </w:r>
      <w:r w:rsidRPr="00834923">
        <w:rPr>
          <w:spacing w:val="-3"/>
        </w:rPr>
        <w:t xml:space="preserve"> </w:t>
      </w:r>
      <w:r w:rsidRPr="00834923">
        <w:t>reviews;</w:t>
      </w:r>
    </w:p>
    <w:p w:rsidR="001C5CBC" w:rsidRPr="00834923" w:rsidRDefault="00834923">
      <w:pPr>
        <w:pStyle w:val="ListParagraph"/>
        <w:numPr>
          <w:ilvl w:val="0"/>
          <w:numId w:val="1"/>
        </w:numPr>
        <w:tabs>
          <w:tab w:val="left" w:pos="1808"/>
        </w:tabs>
        <w:spacing w:line="252" w:lineRule="exact"/>
      </w:pPr>
      <w:r w:rsidRPr="00834923">
        <w:t>Lectures;</w:t>
      </w:r>
    </w:p>
    <w:p w:rsidR="001C5CBC" w:rsidRPr="00834923" w:rsidRDefault="00834923">
      <w:pPr>
        <w:pStyle w:val="ListParagraph"/>
        <w:numPr>
          <w:ilvl w:val="0"/>
          <w:numId w:val="1"/>
        </w:numPr>
        <w:tabs>
          <w:tab w:val="left" w:pos="1808"/>
        </w:tabs>
        <w:spacing w:before="2" w:line="252" w:lineRule="exact"/>
      </w:pPr>
      <w:r w:rsidRPr="00834923">
        <w:t>Auditing</w:t>
      </w:r>
      <w:r w:rsidRPr="00834923">
        <w:rPr>
          <w:spacing w:val="1"/>
        </w:rPr>
        <w:t xml:space="preserve"> </w:t>
      </w:r>
      <w:r w:rsidRPr="00834923">
        <w:t>services;</w:t>
      </w:r>
    </w:p>
    <w:p w:rsidR="001C5CBC" w:rsidRPr="00834923" w:rsidRDefault="00834923">
      <w:pPr>
        <w:pStyle w:val="ListParagraph"/>
        <w:numPr>
          <w:ilvl w:val="0"/>
          <w:numId w:val="1"/>
        </w:numPr>
        <w:tabs>
          <w:tab w:val="left" w:pos="1808"/>
        </w:tabs>
        <w:ind w:left="1560" w:right="1349" w:firstLine="0"/>
      </w:pPr>
      <w:r w:rsidRPr="00834923">
        <w:t xml:space="preserve">Legal services, including attorney, paralegal, expert witness, </w:t>
      </w:r>
      <w:r w:rsidRPr="00834923">
        <w:t>appraisal, arbitrator</w:t>
      </w:r>
      <w:r w:rsidRPr="00834923">
        <w:rPr>
          <w:spacing w:val="-26"/>
        </w:rPr>
        <w:t xml:space="preserve"> </w:t>
      </w:r>
      <w:r w:rsidRPr="00834923">
        <w:t>or mediator</w:t>
      </w:r>
      <w:r w:rsidRPr="00834923">
        <w:rPr>
          <w:spacing w:val="-2"/>
        </w:rPr>
        <w:t xml:space="preserve"> </w:t>
      </w:r>
      <w:r w:rsidRPr="00834923">
        <w:t>services;</w:t>
      </w:r>
    </w:p>
    <w:p w:rsidR="001C5CBC" w:rsidRPr="00834923" w:rsidRDefault="00834923">
      <w:pPr>
        <w:pStyle w:val="ListParagraph"/>
        <w:numPr>
          <w:ilvl w:val="0"/>
          <w:numId w:val="1"/>
        </w:numPr>
        <w:tabs>
          <w:tab w:val="left" w:pos="1808"/>
        </w:tabs>
        <w:ind w:left="1560" w:right="884" w:firstLine="0"/>
      </w:pPr>
      <w:r w:rsidRPr="00834923">
        <w:t>Health services involving examination, diagnosis, treatment, prevention, medical consultation or administration. Prescriptive assistive devices for medical, developmental or vocational rehabilitation including, b</w:t>
      </w:r>
      <w:r w:rsidRPr="00834923">
        <w:t xml:space="preserve">ut not limited to prosthetics, orthotics, wheelchairs and other related equipment and supplies, provided they are purchased </w:t>
      </w:r>
      <w:proofErr w:type="gramStart"/>
      <w:r w:rsidRPr="00834923">
        <w:t>on the basis of</w:t>
      </w:r>
      <w:proofErr w:type="gramEnd"/>
      <w:r w:rsidRPr="00834923">
        <w:t xml:space="preserve"> an established fee schedule or by a method that ensures the best price, taking into consideration the needs of the</w:t>
      </w:r>
      <w:r w:rsidRPr="00834923">
        <w:rPr>
          <w:spacing w:val="-3"/>
        </w:rPr>
        <w:t xml:space="preserve"> </w:t>
      </w:r>
      <w:r w:rsidRPr="00834923">
        <w:t>c</w:t>
      </w:r>
      <w:r w:rsidRPr="00834923">
        <w:t>lient;</w:t>
      </w:r>
    </w:p>
    <w:p w:rsidR="001C5CBC" w:rsidRPr="00834923" w:rsidRDefault="00834923">
      <w:pPr>
        <w:pStyle w:val="ListParagraph"/>
        <w:numPr>
          <w:ilvl w:val="0"/>
          <w:numId w:val="1"/>
        </w:numPr>
        <w:tabs>
          <w:tab w:val="left" w:pos="1808"/>
        </w:tabs>
        <w:ind w:left="1560" w:right="1036" w:firstLine="0"/>
      </w:pPr>
      <w:r w:rsidRPr="00834923">
        <w:t>Services provided to persons with mental or physical disabilities by not-for-profit corporations organized under the provisions of s. 501(c)(3) of the Internal Revenue</w:t>
      </w:r>
      <w:r w:rsidRPr="00834923">
        <w:rPr>
          <w:spacing w:val="-27"/>
        </w:rPr>
        <w:t xml:space="preserve"> </w:t>
      </w:r>
      <w:r w:rsidRPr="00834923">
        <w:t>Code or services governed by the provisions of the Office of Management and Budge</w:t>
      </w:r>
      <w:r w:rsidRPr="00834923">
        <w:t>t Circular A-122;</w:t>
      </w:r>
    </w:p>
    <w:p w:rsidR="001C5CBC" w:rsidRPr="00834923" w:rsidRDefault="00834923">
      <w:pPr>
        <w:pStyle w:val="ListParagraph"/>
        <w:numPr>
          <w:ilvl w:val="0"/>
          <w:numId w:val="1"/>
        </w:numPr>
        <w:tabs>
          <w:tab w:val="left" w:pos="1808"/>
        </w:tabs>
        <w:ind w:left="1560" w:right="848" w:firstLine="0"/>
      </w:pPr>
      <w:r w:rsidRPr="00834923">
        <w:t>Medicaid services delivered to an eligible Medicaid recipient by a health care provider who has not previously applied for and received a Medicaid provider number from the Department of Children and Family Services. This exception will be valid for a perio</w:t>
      </w:r>
      <w:r w:rsidRPr="00834923">
        <w:t>d not to exceed 90 days after the date of delivery to the Medicaid recipient and shall not be renewed;</w:t>
      </w:r>
    </w:p>
    <w:p w:rsidR="001C5CBC" w:rsidRPr="00834923" w:rsidRDefault="00834923">
      <w:pPr>
        <w:pStyle w:val="ListParagraph"/>
        <w:numPr>
          <w:ilvl w:val="0"/>
          <w:numId w:val="1"/>
        </w:numPr>
        <w:tabs>
          <w:tab w:val="left" w:pos="1808"/>
        </w:tabs>
        <w:spacing w:line="252" w:lineRule="exact"/>
      </w:pPr>
      <w:r w:rsidRPr="00834923">
        <w:t>Family placement</w:t>
      </w:r>
      <w:r w:rsidRPr="00834923">
        <w:rPr>
          <w:spacing w:val="-1"/>
        </w:rPr>
        <w:t xml:space="preserve"> </w:t>
      </w:r>
      <w:r w:rsidRPr="00834923">
        <w:t>services;</w:t>
      </w:r>
    </w:p>
    <w:p w:rsidR="001C5CBC" w:rsidRPr="00834923" w:rsidRDefault="00834923">
      <w:pPr>
        <w:pStyle w:val="ListParagraph"/>
        <w:numPr>
          <w:ilvl w:val="0"/>
          <w:numId w:val="1"/>
        </w:numPr>
        <w:tabs>
          <w:tab w:val="left" w:pos="1928"/>
        </w:tabs>
        <w:spacing w:line="252" w:lineRule="exact"/>
        <w:ind w:left="1927" w:hanging="368"/>
      </w:pPr>
      <w:r w:rsidRPr="00834923">
        <w:t>Training and education</w:t>
      </w:r>
      <w:r w:rsidRPr="00834923">
        <w:rPr>
          <w:spacing w:val="-1"/>
        </w:rPr>
        <w:t xml:space="preserve"> </w:t>
      </w:r>
      <w:r w:rsidRPr="00834923">
        <w:t>services;</w:t>
      </w:r>
    </w:p>
    <w:p w:rsidR="001C5CBC" w:rsidRPr="00834923" w:rsidRDefault="00834923">
      <w:pPr>
        <w:pStyle w:val="ListParagraph"/>
        <w:numPr>
          <w:ilvl w:val="0"/>
          <w:numId w:val="1"/>
        </w:numPr>
        <w:tabs>
          <w:tab w:val="left" w:pos="1930"/>
        </w:tabs>
        <w:spacing w:before="2" w:line="252" w:lineRule="exact"/>
        <w:ind w:left="1929" w:hanging="370"/>
      </w:pPr>
      <w:r w:rsidRPr="00834923">
        <w:t>Advertising;</w:t>
      </w:r>
    </w:p>
    <w:p w:rsidR="001C5CBC" w:rsidRPr="00834923" w:rsidRDefault="00834923">
      <w:pPr>
        <w:pStyle w:val="ListParagraph"/>
        <w:numPr>
          <w:ilvl w:val="0"/>
          <w:numId w:val="1"/>
        </w:numPr>
        <w:tabs>
          <w:tab w:val="left" w:pos="1930"/>
        </w:tabs>
        <w:ind w:left="1560" w:right="879" w:firstLine="0"/>
      </w:pPr>
      <w:r w:rsidRPr="00834923">
        <w:t>Services or commodities provided by governmental agencies, another University in the State University System, direct support organizations of the</w:t>
      </w:r>
      <w:r w:rsidRPr="00834923">
        <w:rPr>
          <w:color w:val="0000FF"/>
        </w:rPr>
        <w:t xml:space="preserve"> </w:t>
      </w:r>
      <w:proofErr w:type="spellStart"/>
      <w:r w:rsidRPr="00834923">
        <w:rPr>
          <w:color w:val="0000FF"/>
        </w:rPr>
        <w:t>U</w:t>
      </w:r>
      <w:r w:rsidRPr="00834923">
        <w:rPr>
          <w:strike/>
          <w:color w:val="0000FF"/>
        </w:rPr>
        <w:t>u</w:t>
      </w:r>
      <w:r w:rsidRPr="00834923">
        <w:t>niversity</w:t>
      </w:r>
      <w:proofErr w:type="spellEnd"/>
      <w:r w:rsidRPr="00834923">
        <w:t>, political subdivisions or other independent colleges and</w:t>
      </w:r>
      <w:r w:rsidRPr="00834923">
        <w:rPr>
          <w:spacing w:val="-2"/>
        </w:rPr>
        <w:t xml:space="preserve"> </w:t>
      </w:r>
      <w:r w:rsidRPr="00834923">
        <w:t>universities;</w:t>
      </w:r>
    </w:p>
    <w:p w:rsidR="001C5CBC" w:rsidRPr="00834923" w:rsidRDefault="00834923">
      <w:pPr>
        <w:pStyle w:val="ListParagraph"/>
        <w:numPr>
          <w:ilvl w:val="0"/>
          <w:numId w:val="1"/>
        </w:numPr>
        <w:tabs>
          <w:tab w:val="left" w:pos="1930"/>
        </w:tabs>
        <w:ind w:left="1560" w:right="1201" w:firstLine="0"/>
      </w:pPr>
      <w:r w:rsidRPr="00834923">
        <w:t>Programs, conferences, wor</w:t>
      </w:r>
      <w:r w:rsidRPr="00834923">
        <w:t>kshops, continuing education events or other university programs that are offered to the general public for which fees are collected to pay all expenses associated with the event or</w:t>
      </w:r>
      <w:r w:rsidRPr="00834923">
        <w:rPr>
          <w:spacing w:val="-1"/>
        </w:rPr>
        <w:t xml:space="preserve"> </w:t>
      </w:r>
      <w:r w:rsidRPr="00834923">
        <w:t>program;</w:t>
      </w:r>
    </w:p>
    <w:p w:rsidR="001C5CBC" w:rsidRPr="00834923" w:rsidRDefault="00834923">
      <w:pPr>
        <w:pStyle w:val="ListParagraph"/>
        <w:numPr>
          <w:ilvl w:val="0"/>
          <w:numId w:val="1"/>
        </w:numPr>
        <w:tabs>
          <w:tab w:val="left" w:pos="1930"/>
        </w:tabs>
        <w:spacing w:before="1"/>
        <w:ind w:left="1560" w:right="1462" w:firstLine="0"/>
      </w:pPr>
      <w:r w:rsidRPr="00834923">
        <w:t xml:space="preserve">Purchases from firms or individuals that are prescribed by state </w:t>
      </w:r>
      <w:r w:rsidRPr="00834923">
        <w:t>or federal law,</w:t>
      </w:r>
      <w:r w:rsidRPr="00834923">
        <w:rPr>
          <w:spacing w:val="-27"/>
        </w:rPr>
        <w:t xml:space="preserve"> </w:t>
      </w:r>
      <w:r w:rsidRPr="00834923">
        <w:t>or specified by a granting</w:t>
      </w:r>
      <w:r w:rsidRPr="00834923">
        <w:rPr>
          <w:spacing w:val="-3"/>
        </w:rPr>
        <w:t xml:space="preserve"> </w:t>
      </w:r>
      <w:r w:rsidRPr="00834923">
        <w:t>agency;</w:t>
      </w:r>
    </w:p>
    <w:p w:rsidR="001C5CBC" w:rsidRPr="00834923" w:rsidRDefault="00834923">
      <w:pPr>
        <w:pStyle w:val="ListParagraph"/>
        <w:numPr>
          <w:ilvl w:val="0"/>
          <w:numId w:val="1"/>
        </w:numPr>
        <w:tabs>
          <w:tab w:val="left" w:pos="1930"/>
        </w:tabs>
        <w:spacing w:line="252" w:lineRule="exact"/>
        <w:ind w:left="1929" w:hanging="370"/>
      </w:pPr>
      <w:r w:rsidRPr="00834923">
        <w:t>Regulated utilities and government franchised</w:t>
      </w:r>
      <w:r w:rsidRPr="00834923">
        <w:rPr>
          <w:spacing w:val="-8"/>
        </w:rPr>
        <w:t xml:space="preserve"> </w:t>
      </w:r>
      <w:r w:rsidRPr="00834923">
        <w:t>services;</w:t>
      </w:r>
    </w:p>
    <w:p w:rsidR="001C5CBC" w:rsidRPr="00834923" w:rsidRDefault="00834923">
      <w:pPr>
        <w:pStyle w:val="ListParagraph"/>
        <w:numPr>
          <w:ilvl w:val="0"/>
          <w:numId w:val="1"/>
        </w:numPr>
        <w:tabs>
          <w:tab w:val="left" w:pos="1930"/>
        </w:tabs>
        <w:ind w:left="1560" w:right="876" w:firstLine="0"/>
      </w:pPr>
      <w:r w:rsidRPr="00834923">
        <w:t>Regulated public communications, except long distance telecommunication services</w:t>
      </w:r>
      <w:r w:rsidRPr="00834923">
        <w:rPr>
          <w:spacing w:val="-29"/>
        </w:rPr>
        <w:t xml:space="preserve"> </w:t>
      </w:r>
      <w:r w:rsidRPr="00834923">
        <w:t>or facilities;</w:t>
      </w:r>
    </w:p>
    <w:p w:rsidR="001C5CBC" w:rsidRPr="00834923" w:rsidRDefault="00834923">
      <w:pPr>
        <w:pStyle w:val="ListParagraph"/>
        <w:numPr>
          <w:ilvl w:val="0"/>
          <w:numId w:val="1"/>
        </w:numPr>
        <w:tabs>
          <w:tab w:val="left" w:pos="1930"/>
        </w:tabs>
        <w:spacing w:line="252" w:lineRule="exact"/>
        <w:ind w:left="1929" w:hanging="370"/>
      </w:pPr>
      <w:r w:rsidRPr="00834923">
        <w:t>Extension of an existing</w:t>
      </w:r>
      <w:r w:rsidRPr="00834923">
        <w:rPr>
          <w:spacing w:val="-1"/>
        </w:rPr>
        <w:t xml:space="preserve"> </w:t>
      </w:r>
      <w:r w:rsidRPr="00834923">
        <w:t>contract;</w:t>
      </w:r>
    </w:p>
    <w:p w:rsidR="001C5CBC" w:rsidRPr="00834923" w:rsidRDefault="00834923">
      <w:pPr>
        <w:pStyle w:val="ListParagraph"/>
        <w:numPr>
          <w:ilvl w:val="0"/>
          <w:numId w:val="1"/>
        </w:numPr>
        <w:tabs>
          <w:tab w:val="left" w:pos="1930"/>
        </w:tabs>
        <w:spacing w:line="252" w:lineRule="exact"/>
        <w:ind w:left="1929" w:hanging="370"/>
      </w:pPr>
      <w:r w:rsidRPr="00834923">
        <w:t>Renewal of an existing contract if the terms of the contract specify renewal</w:t>
      </w:r>
      <w:r w:rsidRPr="00834923">
        <w:rPr>
          <w:spacing w:val="-15"/>
        </w:rPr>
        <w:t xml:space="preserve"> </w:t>
      </w:r>
      <w:r w:rsidRPr="00834923">
        <w:t>option(s);</w:t>
      </w:r>
    </w:p>
    <w:p w:rsidR="001C5CBC" w:rsidRPr="00834923" w:rsidRDefault="00834923">
      <w:pPr>
        <w:pStyle w:val="ListParagraph"/>
        <w:numPr>
          <w:ilvl w:val="0"/>
          <w:numId w:val="1"/>
        </w:numPr>
        <w:tabs>
          <w:tab w:val="left" w:pos="1930"/>
        </w:tabs>
        <w:spacing w:before="2" w:line="252" w:lineRule="exact"/>
        <w:ind w:left="1929" w:hanging="370"/>
      </w:pPr>
      <w:r w:rsidRPr="00834923">
        <w:t>Purchases from an Annual Certificati</w:t>
      </w:r>
      <w:r w:rsidRPr="00834923">
        <w:t>on List developed by</w:t>
      </w:r>
      <w:r w:rsidRPr="00834923">
        <w:rPr>
          <w:color w:val="0000FF"/>
        </w:rPr>
        <w:t xml:space="preserve"> </w:t>
      </w:r>
      <w:r w:rsidRPr="00834923">
        <w:rPr>
          <w:strike/>
          <w:color w:val="0000FF"/>
        </w:rPr>
        <w:t>each</w:t>
      </w:r>
      <w:r w:rsidRPr="00834923">
        <w:rPr>
          <w:color w:val="0000FF"/>
        </w:rPr>
        <w:t xml:space="preserve"> </w:t>
      </w:r>
      <w:r w:rsidRPr="00834923">
        <w:rPr>
          <w:color w:val="0000FF"/>
        </w:rPr>
        <w:t>the</w:t>
      </w:r>
      <w:r w:rsidRPr="00834923">
        <w:rPr>
          <w:color w:val="0000FF"/>
          <w:spacing w:val="-8"/>
        </w:rPr>
        <w:t xml:space="preserve"> </w:t>
      </w:r>
      <w:r w:rsidRPr="00834923">
        <w:t>University;</w:t>
      </w:r>
    </w:p>
    <w:p w:rsidR="001C5CBC" w:rsidRPr="00834923" w:rsidRDefault="00834923">
      <w:pPr>
        <w:pStyle w:val="ListParagraph"/>
        <w:numPr>
          <w:ilvl w:val="0"/>
          <w:numId w:val="1"/>
        </w:numPr>
        <w:tabs>
          <w:tab w:val="left" w:pos="1930"/>
        </w:tabs>
        <w:spacing w:line="252" w:lineRule="exact"/>
        <w:ind w:left="1929" w:hanging="370"/>
      </w:pPr>
      <w:r w:rsidRPr="00834923">
        <w:t>Purchases for</w:t>
      </w:r>
      <w:r w:rsidRPr="00834923">
        <w:rPr>
          <w:spacing w:val="-7"/>
        </w:rPr>
        <w:t xml:space="preserve"> </w:t>
      </w:r>
      <w:r w:rsidRPr="00834923">
        <w:t>resale;</w:t>
      </w:r>
    </w:p>
    <w:p w:rsidR="001C5CBC" w:rsidRPr="00834923" w:rsidRDefault="00834923">
      <w:pPr>
        <w:pStyle w:val="ListParagraph"/>
        <w:numPr>
          <w:ilvl w:val="0"/>
          <w:numId w:val="1"/>
        </w:numPr>
        <w:tabs>
          <w:tab w:val="left" w:pos="1930"/>
        </w:tabs>
        <w:ind w:left="1929" w:hanging="370"/>
      </w:pPr>
      <w:r w:rsidRPr="00834923">
        <w:t>Accounting</w:t>
      </w:r>
      <w:r w:rsidRPr="00834923">
        <w:rPr>
          <w:spacing w:val="-6"/>
        </w:rPr>
        <w:t xml:space="preserve"> </w:t>
      </w:r>
      <w:r w:rsidRPr="00834923">
        <w:t>Services;</w:t>
      </w:r>
    </w:p>
    <w:p w:rsidR="001C5CBC" w:rsidRPr="00834923" w:rsidRDefault="00834923">
      <w:pPr>
        <w:pStyle w:val="ListParagraph"/>
        <w:numPr>
          <w:ilvl w:val="0"/>
          <w:numId w:val="1"/>
        </w:numPr>
        <w:tabs>
          <w:tab w:val="left" w:pos="1930"/>
        </w:tabs>
        <w:spacing w:before="1"/>
        <w:ind w:left="1560" w:right="1190" w:firstLine="0"/>
      </w:pPr>
      <w:r w:rsidRPr="00834923">
        <w:t>Contracts or services provided by not-for-profit support and affiliate organizations</w:t>
      </w:r>
      <w:r w:rsidRPr="00834923">
        <w:rPr>
          <w:spacing w:val="-27"/>
        </w:rPr>
        <w:t xml:space="preserve"> </w:t>
      </w:r>
      <w:r w:rsidRPr="00834923">
        <w:t>of the University, direct support organizations, health support organizations and faculty practice</w:t>
      </w:r>
      <w:r w:rsidRPr="00834923">
        <w:rPr>
          <w:spacing w:val="-2"/>
        </w:rPr>
        <w:t xml:space="preserve"> </w:t>
      </w:r>
      <w:r w:rsidRPr="00834923">
        <w:t>plans;</w:t>
      </w:r>
    </w:p>
    <w:p w:rsidR="001C5CBC" w:rsidRPr="00834923" w:rsidRDefault="00834923">
      <w:pPr>
        <w:pStyle w:val="ListParagraph"/>
        <w:numPr>
          <w:ilvl w:val="0"/>
          <w:numId w:val="1"/>
        </w:numPr>
        <w:tabs>
          <w:tab w:val="left" w:pos="1928"/>
        </w:tabs>
        <w:ind w:left="1560" w:right="1265" w:firstLine="0"/>
      </w:pPr>
      <w:r w:rsidRPr="00834923">
        <w:t>Implementation/programming/training services available from owner of</w:t>
      </w:r>
      <w:r w:rsidRPr="00834923">
        <w:rPr>
          <w:spacing w:val="-27"/>
        </w:rPr>
        <w:t xml:space="preserve"> </w:t>
      </w:r>
      <w:r w:rsidRPr="00834923">
        <w:t>copyrighted software or its contracted vendor;</w:t>
      </w:r>
      <w:r w:rsidRPr="00834923">
        <w:rPr>
          <w:spacing w:val="1"/>
        </w:rPr>
        <w:t xml:space="preserve"> </w:t>
      </w:r>
      <w:r w:rsidRPr="00834923">
        <w:t>or</w:t>
      </w:r>
    </w:p>
    <w:p w:rsidR="001C5CBC" w:rsidRPr="00834923" w:rsidRDefault="00834923">
      <w:pPr>
        <w:pStyle w:val="ListParagraph"/>
        <w:numPr>
          <w:ilvl w:val="0"/>
          <w:numId w:val="1"/>
        </w:numPr>
        <w:tabs>
          <w:tab w:val="left" w:pos="1930"/>
        </w:tabs>
        <w:ind w:left="1560" w:right="897" w:firstLine="0"/>
      </w:pPr>
      <w:r w:rsidRPr="00834923">
        <w:t>Purchases of materials, supplie</w:t>
      </w:r>
      <w:r w:rsidRPr="00834923">
        <w:t xml:space="preserve">s, equipment, or services for instructional or sponsored research purposes when a director of sponsored research or designee certifies that, in a </w:t>
      </w:r>
      <w:proofErr w:type="gramStart"/>
      <w:r w:rsidRPr="00834923">
        <w:t>particular instance</w:t>
      </w:r>
      <w:proofErr w:type="gramEnd"/>
      <w:r w:rsidRPr="00834923">
        <w:t>, it is necessary for the efficient or expeditious prosecution of a research project in acc</w:t>
      </w:r>
      <w:r w:rsidRPr="00834923">
        <w:t>ordance with sponsored research procedures or to attain the instructional objective.</w:t>
      </w:r>
    </w:p>
    <w:p w:rsidR="001C5CBC" w:rsidRPr="00834923" w:rsidRDefault="001C5CBC">
      <w:pPr>
        <w:sectPr w:rsidR="001C5CBC" w:rsidRPr="00834923">
          <w:pgSz w:w="12240" w:h="15840"/>
          <w:pgMar w:top="1500" w:right="520" w:bottom="280" w:left="480" w:header="720" w:footer="720" w:gutter="0"/>
          <w:cols w:space="720"/>
        </w:sectPr>
      </w:pPr>
    </w:p>
    <w:p w:rsidR="001C5CBC" w:rsidRPr="00834923" w:rsidRDefault="00834923">
      <w:pPr>
        <w:pStyle w:val="ListParagraph"/>
        <w:numPr>
          <w:ilvl w:val="0"/>
          <w:numId w:val="3"/>
        </w:numPr>
        <w:tabs>
          <w:tab w:val="left" w:pos="1175"/>
        </w:tabs>
        <w:spacing w:before="76"/>
        <w:ind w:right="1128" w:firstLine="0"/>
        <w:jc w:val="left"/>
      </w:pPr>
      <w:r w:rsidRPr="00834923">
        <w:rPr>
          <w:b/>
        </w:rPr>
        <w:lastRenderedPageBreak/>
        <w:t>Vendors Excluded from Competition</w:t>
      </w:r>
      <w:r w:rsidRPr="00834923">
        <w:t>. In order to ensure objective contractor</w:t>
      </w:r>
      <w:r w:rsidRPr="00834923">
        <w:rPr>
          <w:spacing w:val="-24"/>
        </w:rPr>
        <w:t xml:space="preserve"> </w:t>
      </w:r>
      <w:r w:rsidRPr="00834923">
        <w:t>performance and eliminate unfair competitive advantage, contractors that develop or draft specifications, requirements, statements of work, Invitations to Bid, Request for Proposals and/or Invitations to Negotiate shall be excluded from competing for such</w:t>
      </w:r>
      <w:r w:rsidRPr="00834923">
        <w:rPr>
          <w:spacing w:val="-9"/>
        </w:rPr>
        <w:t xml:space="preserve"> </w:t>
      </w:r>
      <w:r w:rsidRPr="00834923">
        <w:t>procurements.</w:t>
      </w:r>
    </w:p>
    <w:p w:rsidR="001C5CBC" w:rsidRPr="00834923" w:rsidRDefault="00834923">
      <w:pPr>
        <w:pStyle w:val="ListParagraph"/>
        <w:numPr>
          <w:ilvl w:val="0"/>
          <w:numId w:val="3"/>
        </w:numPr>
        <w:tabs>
          <w:tab w:val="left" w:pos="1175"/>
        </w:tabs>
        <w:ind w:right="862" w:firstLine="0"/>
        <w:jc w:val="left"/>
      </w:pPr>
      <w:r w:rsidRPr="00834923">
        <w:rPr>
          <w:b/>
        </w:rPr>
        <w:t xml:space="preserve">Standard of Conduct. </w:t>
      </w:r>
      <w:r w:rsidRPr="00834923">
        <w:t>It shall be a breach of ethical standards for any employee of a University to accept, solicit, or agree to accept a gratuity of any kind, form or type in connection with any contract for commodities or services. It shall</w:t>
      </w:r>
      <w:r w:rsidRPr="00834923">
        <w:t xml:space="preserve"> also be a breach of ethical standards for</w:t>
      </w:r>
      <w:r w:rsidRPr="00834923">
        <w:rPr>
          <w:spacing w:val="-33"/>
        </w:rPr>
        <w:t xml:space="preserve"> </w:t>
      </w:r>
      <w:r w:rsidRPr="00834923">
        <w:t>any potential contractor to offer an employee of</w:t>
      </w:r>
      <w:r w:rsidRPr="00834923">
        <w:rPr>
          <w:color w:val="0000FF"/>
        </w:rPr>
        <w:t xml:space="preserve"> </w:t>
      </w:r>
      <w:proofErr w:type="spellStart"/>
      <w:r w:rsidRPr="00834923">
        <w:rPr>
          <w:strike/>
          <w:color w:val="0000FF"/>
        </w:rPr>
        <w:t>a</w:t>
      </w:r>
      <w:r w:rsidRPr="00834923">
        <w:rPr>
          <w:color w:val="0000FF"/>
        </w:rPr>
        <w:t>the</w:t>
      </w:r>
      <w:proofErr w:type="spellEnd"/>
      <w:r w:rsidRPr="00834923">
        <w:rPr>
          <w:color w:val="0000FF"/>
        </w:rPr>
        <w:t xml:space="preserve"> </w:t>
      </w:r>
      <w:r w:rsidRPr="00834923">
        <w:t>University a gratuity of any kind, form or type to influence the development of a contract or potential contract for commodities or</w:t>
      </w:r>
      <w:r w:rsidRPr="00834923">
        <w:rPr>
          <w:spacing w:val="-13"/>
        </w:rPr>
        <w:t xml:space="preserve"> </w:t>
      </w:r>
      <w:r w:rsidRPr="00834923">
        <w:t>services.</w:t>
      </w:r>
    </w:p>
    <w:p w:rsidR="001C5CBC" w:rsidRPr="00834923" w:rsidRDefault="001C5CBC">
      <w:pPr>
        <w:pStyle w:val="BodyText"/>
        <w:spacing w:before="8"/>
        <w:ind w:left="0"/>
        <w:rPr>
          <w:sz w:val="20"/>
        </w:rPr>
      </w:pPr>
    </w:p>
    <w:p w:rsidR="001C5CBC" w:rsidRDefault="00834923">
      <w:pPr>
        <w:pStyle w:val="BodyText"/>
        <w:tabs>
          <w:tab w:val="left" w:pos="9077"/>
        </w:tabs>
        <w:spacing w:before="1"/>
        <w:ind w:left="881"/>
      </w:pPr>
      <w:r w:rsidRPr="00834923">
        <w:t>Authority: Secti</w:t>
      </w:r>
      <w:r w:rsidRPr="00834923">
        <w:t>on 7(d) Art. IX, Fla.</w:t>
      </w:r>
      <w:r w:rsidRPr="00834923">
        <w:rPr>
          <w:spacing w:val="-16"/>
        </w:rPr>
        <w:t xml:space="preserve"> </w:t>
      </w:r>
      <w:r w:rsidRPr="00834923">
        <w:t>Const.;</w:t>
      </w:r>
      <w:r w:rsidRPr="00834923">
        <w:rPr>
          <w:spacing w:val="-1"/>
        </w:rPr>
        <w:t xml:space="preserve"> </w:t>
      </w:r>
      <w:r w:rsidRPr="00834923">
        <w:t>History—New</w:t>
      </w:r>
      <w:r w:rsidRPr="00834923">
        <w:t xml:space="preserve"> </w:t>
      </w:r>
      <w:r w:rsidRPr="00834923">
        <w:tab/>
      </w:r>
      <w:r>
        <w:t>.</w:t>
      </w:r>
    </w:p>
    <w:sectPr w:rsidR="001C5CBC">
      <w:pgSz w:w="12240" w:h="15840"/>
      <w:pgMar w:top="1280" w:right="5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6D86"/>
    <w:multiLevelType w:val="hybridMultilevel"/>
    <w:tmpl w:val="F828C0D2"/>
    <w:lvl w:ilvl="0" w:tplc="B4AEFC4A">
      <w:start w:val="1"/>
      <w:numFmt w:val="decimal"/>
      <w:lvlText w:val="(%1)"/>
      <w:lvlJc w:val="left"/>
      <w:pPr>
        <w:ind w:left="840" w:hanging="329"/>
        <w:jc w:val="right"/>
      </w:pPr>
      <w:rPr>
        <w:rFonts w:ascii="Arial" w:eastAsia="Arial" w:hAnsi="Arial" w:cs="Arial" w:hint="default"/>
        <w:w w:val="100"/>
        <w:sz w:val="22"/>
        <w:szCs w:val="22"/>
        <w:lang w:val="en-US" w:eastAsia="en-US" w:bidi="en-US"/>
      </w:rPr>
    </w:lvl>
    <w:lvl w:ilvl="1" w:tplc="5060F308">
      <w:start w:val="1"/>
      <w:numFmt w:val="lowerLetter"/>
      <w:lvlText w:val="(%2)"/>
      <w:lvlJc w:val="left"/>
      <w:pPr>
        <w:ind w:left="840" w:hanging="334"/>
      </w:pPr>
      <w:rPr>
        <w:rFonts w:ascii="Arial" w:eastAsia="Arial" w:hAnsi="Arial" w:cs="Arial" w:hint="default"/>
        <w:w w:val="100"/>
        <w:sz w:val="22"/>
        <w:szCs w:val="22"/>
        <w:lang w:val="en-US" w:eastAsia="en-US" w:bidi="en-US"/>
      </w:rPr>
    </w:lvl>
    <w:lvl w:ilvl="2" w:tplc="25E66B76">
      <w:numFmt w:val="bullet"/>
      <w:lvlText w:val="•"/>
      <w:lvlJc w:val="left"/>
      <w:pPr>
        <w:ind w:left="2920" w:hanging="334"/>
      </w:pPr>
      <w:rPr>
        <w:rFonts w:hint="default"/>
        <w:lang w:val="en-US" w:eastAsia="en-US" w:bidi="en-US"/>
      </w:rPr>
    </w:lvl>
    <w:lvl w:ilvl="3" w:tplc="0FFA2AE6">
      <w:numFmt w:val="bullet"/>
      <w:lvlText w:val="•"/>
      <w:lvlJc w:val="left"/>
      <w:pPr>
        <w:ind w:left="3960" w:hanging="334"/>
      </w:pPr>
      <w:rPr>
        <w:rFonts w:hint="default"/>
        <w:lang w:val="en-US" w:eastAsia="en-US" w:bidi="en-US"/>
      </w:rPr>
    </w:lvl>
    <w:lvl w:ilvl="4" w:tplc="0554B89C">
      <w:numFmt w:val="bullet"/>
      <w:lvlText w:val="•"/>
      <w:lvlJc w:val="left"/>
      <w:pPr>
        <w:ind w:left="5000" w:hanging="334"/>
      </w:pPr>
      <w:rPr>
        <w:rFonts w:hint="default"/>
        <w:lang w:val="en-US" w:eastAsia="en-US" w:bidi="en-US"/>
      </w:rPr>
    </w:lvl>
    <w:lvl w:ilvl="5" w:tplc="B92699A2">
      <w:numFmt w:val="bullet"/>
      <w:lvlText w:val="•"/>
      <w:lvlJc w:val="left"/>
      <w:pPr>
        <w:ind w:left="6040" w:hanging="334"/>
      </w:pPr>
      <w:rPr>
        <w:rFonts w:hint="default"/>
        <w:lang w:val="en-US" w:eastAsia="en-US" w:bidi="en-US"/>
      </w:rPr>
    </w:lvl>
    <w:lvl w:ilvl="6" w:tplc="623C010A">
      <w:numFmt w:val="bullet"/>
      <w:lvlText w:val="•"/>
      <w:lvlJc w:val="left"/>
      <w:pPr>
        <w:ind w:left="7080" w:hanging="334"/>
      </w:pPr>
      <w:rPr>
        <w:rFonts w:hint="default"/>
        <w:lang w:val="en-US" w:eastAsia="en-US" w:bidi="en-US"/>
      </w:rPr>
    </w:lvl>
    <w:lvl w:ilvl="7" w:tplc="436A84E4">
      <w:numFmt w:val="bullet"/>
      <w:lvlText w:val="•"/>
      <w:lvlJc w:val="left"/>
      <w:pPr>
        <w:ind w:left="8120" w:hanging="334"/>
      </w:pPr>
      <w:rPr>
        <w:rFonts w:hint="default"/>
        <w:lang w:val="en-US" w:eastAsia="en-US" w:bidi="en-US"/>
      </w:rPr>
    </w:lvl>
    <w:lvl w:ilvl="8" w:tplc="8B301C50">
      <w:numFmt w:val="bullet"/>
      <w:lvlText w:val="•"/>
      <w:lvlJc w:val="left"/>
      <w:pPr>
        <w:ind w:left="9160" w:hanging="334"/>
      </w:pPr>
      <w:rPr>
        <w:rFonts w:hint="default"/>
        <w:lang w:val="en-US" w:eastAsia="en-US" w:bidi="en-US"/>
      </w:rPr>
    </w:lvl>
  </w:abstractNum>
  <w:abstractNum w:abstractNumId="1" w15:restartNumberingAfterBreak="0">
    <w:nsid w:val="17670E69"/>
    <w:multiLevelType w:val="hybridMultilevel"/>
    <w:tmpl w:val="F20ECCC0"/>
    <w:lvl w:ilvl="0" w:tplc="5B3EEF54">
      <w:start w:val="1"/>
      <w:numFmt w:val="decimal"/>
      <w:lvlText w:val="%1."/>
      <w:lvlJc w:val="left"/>
      <w:pPr>
        <w:ind w:left="1807" w:hanging="248"/>
      </w:pPr>
      <w:rPr>
        <w:rFonts w:ascii="Arial" w:eastAsia="Arial" w:hAnsi="Arial" w:cs="Arial" w:hint="default"/>
        <w:w w:val="100"/>
        <w:sz w:val="22"/>
        <w:szCs w:val="22"/>
        <w:lang w:val="en-US" w:eastAsia="en-US" w:bidi="en-US"/>
      </w:rPr>
    </w:lvl>
    <w:lvl w:ilvl="1" w:tplc="016036E2">
      <w:numFmt w:val="bullet"/>
      <w:lvlText w:val="•"/>
      <w:lvlJc w:val="left"/>
      <w:pPr>
        <w:ind w:left="2744" w:hanging="248"/>
      </w:pPr>
      <w:rPr>
        <w:rFonts w:hint="default"/>
        <w:lang w:val="en-US" w:eastAsia="en-US" w:bidi="en-US"/>
      </w:rPr>
    </w:lvl>
    <w:lvl w:ilvl="2" w:tplc="ED8CA6B0">
      <w:numFmt w:val="bullet"/>
      <w:lvlText w:val="•"/>
      <w:lvlJc w:val="left"/>
      <w:pPr>
        <w:ind w:left="3688" w:hanging="248"/>
      </w:pPr>
      <w:rPr>
        <w:rFonts w:hint="default"/>
        <w:lang w:val="en-US" w:eastAsia="en-US" w:bidi="en-US"/>
      </w:rPr>
    </w:lvl>
    <w:lvl w:ilvl="3" w:tplc="338CE20E">
      <w:numFmt w:val="bullet"/>
      <w:lvlText w:val="•"/>
      <w:lvlJc w:val="left"/>
      <w:pPr>
        <w:ind w:left="4632" w:hanging="248"/>
      </w:pPr>
      <w:rPr>
        <w:rFonts w:hint="default"/>
        <w:lang w:val="en-US" w:eastAsia="en-US" w:bidi="en-US"/>
      </w:rPr>
    </w:lvl>
    <w:lvl w:ilvl="4" w:tplc="D94E1F64">
      <w:numFmt w:val="bullet"/>
      <w:lvlText w:val="•"/>
      <w:lvlJc w:val="left"/>
      <w:pPr>
        <w:ind w:left="5576" w:hanging="248"/>
      </w:pPr>
      <w:rPr>
        <w:rFonts w:hint="default"/>
        <w:lang w:val="en-US" w:eastAsia="en-US" w:bidi="en-US"/>
      </w:rPr>
    </w:lvl>
    <w:lvl w:ilvl="5" w:tplc="A3E865D2">
      <w:numFmt w:val="bullet"/>
      <w:lvlText w:val="•"/>
      <w:lvlJc w:val="left"/>
      <w:pPr>
        <w:ind w:left="6520" w:hanging="248"/>
      </w:pPr>
      <w:rPr>
        <w:rFonts w:hint="default"/>
        <w:lang w:val="en-US" w:eastAsia="en-US" w:bidi="en-US"/>
      </w:rPr>
    </w:lvl>
    <w:lvl w:ilvl="6" w:tplc="84C06436">
      <w:numFmt w:val="bullet"/>
      <w:lvlText w:val="•"/>
      <w:lvlJc w:val="left"/>
      <w:pPr>
        <w:ind w:left="7464" w:hanging="248"/>
      </w:pPr>
      <w:rPr>
        <w:rFonts w:hint="default"/>
        <w:lang w:val="en-US" w:eastAsia="en-US" w:bidi="en-US"/>
      </w:rPr>
    </w:lvl>
    <w:lvl w:ilvl="7" w:tplc="F12A6C70">
      <w:numFmt w:val="bullet"/>
      <w:lvlText w:val="•"/>
      <w:lvlJc w:val="left"/>
      <w:pPr>
        <w:ind w:left="8408" w:hanging="248"/>
      </w:pPr>
      <w:rPr>
        <w:rFonts w:hint="default"/>
        <w:lang w:val="en-US" w:eastAsia="en-US" w:bidi="en-US"/>
      </w:rPr>
    </w:lvl>
    <w:lvl w:ilvl="8" w:tplc="A25C242A">
      <w:numFmt w:val="bullet"/>
      <w:lvlText w:val="•"/>
      <w:lvlJc w:val="left"/>
      <w:pPr>
        <w:ind w:left="9352" w:hanging="248"/>
      </w:pPr>
      <w:rPr>
        <w:rFonts w:hint="default"/>
        <w:lang w:val="en-US" w:eastAsia="en-US" w:bidi="en-US"/>
      </w:rPr>
    </w:lvl>
  </w:abstractNum>
  <w:abstractNum w:abstractNumId="2" w15:restartNumberingAfterBreak="0">
    <w:nsid w:val="432B0E7E"/>
    <w:multiLevelType w:val="hybridMultilevel"/>
    <w:tmpl w:val="1D720920"/>
    <w:lvl w:ilvl="0" w:tplc="8B8626D0">
      <w:start w:val="1"/>
      <w:numFmt w:val="upperRoman"/>
      <w:pStyle w:val="Heading2"/>
      <w:lvlText w:val="%1."/>
      <w:lvlJc w:val="left"/>
      <w:pPr>
        <w:ind w:left="1920" w:hanging="720"/>
      </w:pPr>
      <w:rPr>
        <w:rFonts w:ascii="Arial" w:eastAsia="Arial" w:hAnsi="Arial" w:cs="Arial" w:hint="default"/>
        <w:b/>
        <w:bCs/>
        <w:spacing w:val="0"/>
        <w:w w:val="100"/>
        <w:sz w:val="22"/>
        <w:szCs w:val="22"/>
        <w:lang w:val="en-US" w:eastAsia="en-US" w:bidi="en-US"/>
      </w:rPr>
    </w:lvl>
    <w:lvl w:ilvl="1" w:tplc="A54021D4">
      <w:numFmt w:val="bullet"/>
      <w:lvlText w:val="•"/>
      <w:lvlJc w:val="left"/>
      <w:pPr>
        <w:ind w:left="2852" w:hanging="720"/>
      </w:pPr>
      <w:rPr>
        <w:rFonts w:hint="default"/>
        <w:lang w:val="en-US" w:eastAsia="en-US" w:bidi="en-US"/>
      </w:rPr>
    </w:lvl>
    <w:lvl w:ilvl="2" w:tplc="415A9BE6">
      <w:numFmt w:val="bullet"/>
      <w:lvlText w:val="•"/>
      <w:lvlJc w:val="left"/>
      <w:pPr>
        <w:ind w:left="3784" w:hanging="720"/>
      </w:pPr>
      <w:rPr>
        <w:rFonts w:hint="default"/>
        <w:lang w:val="en-US" w:eastAsia="en-US" w:bidi="en-US"/>
      </w:rPr>
    </w:lvl>
    <w:lvl w:ilvl="3" w:tplc="301E4470">
      <w:numFmt w:val="bullet"/>
      <w:lvlText w:val="•"/>
      <w:lvlJc w:val="left"/>
      <w:pPr>
        <w:ind w:left="4716" w:hanging="720"/>
      </w:pPr>
      <w:rPr>
        <w:rFonts w:hint="default"/>
        <w:lang w:val="en-US" w:eastAsia="en-US" w:bidi="en-US"/>
      </w:rPr>
    </w:lvl>
    <w:lvl w:ilvl="4" w:tplc="EE329D0C">
      <w:numFmt w:val="bullet"/>
      <w:lvlText w:val="•"/>
      <w:lvlJc w:val="left"/>
      <w:pPr>
        <w:ind w:left="5648" w:hanging="720"/>
      </w:pPr>
      <w:rPr>
        <w:rFonts w:hint="default"/>
        <w:lang w:val="en-US" w:eastAsia="en-US" w:bidi="en-US"/>
      </w:rPr>
    </w:lvl>
    <w:lvl w:ilvl="5" w:tplc="702269DA">
      <w:numFmt w:val="bullet"/>
      <w:lvlText w:val="•"/>
      <w:lvlJc w:val="left"/>
      <w:pPr>
        <w:ind w:left="6580" w:hanging="720"/>
      </w:pPr>
      <w:rPr>
        <w:rFonts w:hint="default"/>
        <w:lang w:val="en-US" w:eastAsia="en-US" w:bidi="en-US"/>
      </w:rPr>
    </w:lvl>
    <w:lvl w:ilvl="6" w:tplc="2E48E2CE">
      <w:numFmt w:val="bullet"/>
      <w:lvlText w:val="•"/>
      <w:lvlJc w:val="left"/>
      <w:pPr>
        <w:ind w:left="7512" w:hanging="720"/>
      </w:pPr>
      <w:rPr>
        <w:rFonts w:hint="default"/>
        <w:lang w:val="en-US" w:eastAsia="en-US" w:bidi="en-US"/>
      </w:rPr>
    </w:lvl>
    <w:lvl w:ilvl="7" w:tplc="8C46CA0E">
      <w:numFmt w:val="bullet"/>
      <w:lvlText w:val="•"/>
      <w:lvlJc w:val="left"/>
      <w:pPr>
        <w:ind w:left="8444" w:hanging="720"/>
      </w:pPr>
      <w:rPr>
        <w:rFonts w:hint="default"/>
        <w:lang w:val="en-US" w:eastAsia="en-US" w:bidi="en-US"/>
      </w:rPr>
    </w:lvl>
    <w:lvl w:ilvl="8" w:tplc="F0E63D72">
      <w:numFmt w:val="bullet"/>
      <w:lvlText w:val="•"/>
      <w:lvlJc w:val="left"/>
      <w:pPr>
        <w:ind w:left="9376" w:hanging="720"/>
      </w:pPr>
      <w:rPr>
        <w:rFonts w:hint="default"/>
        <w:lang w:val="en-US" w:eastAsia="en-US" w:bidi="en-US"/>
      </w:rPr>
    </w:lvl>
  </w:abstractNum>
  <w:abstractNum w:abstractNumId="3" w15:restartNumberingAfterBreak="0">
    <w:nsid w:val="499948C3"/>
    <w:multiLevelType w:val="hybridMultilevel"/>
    <w:tmpl w:val="4A262954"/>
    <w:lvl w:ilvl="0" w:tplc="C8726042">
      <w:numFmt w:val="bullet"/>
      <w:lvlText w:val=""/>
      <w:lvlJc w:val="left"/>
      <w:pPr>
        <w:ind w:left="110" w:hanging="288"/>
      </w:pPr>
      <w:rPr>
        <w:rFonts w:ascii="Wingdings 2" w:eastAsia="Wingdings 2" w:hAnsi="Wingdings 2" w:cs="Wingdings 2" w:hint="default"/>
        <w:w w:val="99"/>
        <w:sz w:val="20"/>
        <w:szCs w:val="20"/>
        <w:lang w:val="en-US" w:eastAsia="en-US" w:bidi="en-US"/>
      </w:rPr>
    </w:lvl>
    <w:lvl w:ilvl="1" w:tplc="24E85316">
      <w:numFmt w:val="bullet"/>
      <w:lvlText w:val="•"/>
      <w:lvlJc w:val="left"/>
      <w:pPr>
        <w:ind w:left="539" w:hanging="288"/>
      </w:pPr>
      <w:rPr>
        <w:rFonts w:hint="default"/>
        <w:lang w:val="en-US" w:eastAsia="en-US" w:bidi="en-US"/>
      </w:rPr>
    </w:lvl>
    <w:lvl w:ilvl="2" w:tplc="DBCCB2D6">
      <w:numFmt w:val="bullet"/>
      <w:lvlText w:val="•"/>
      <w:lvlJc w:val="left"/>
      <w:pPr>
        <w:ind w:left="959" w:hanging="288"/>
      </w:pPr>
      <w:rPr>
        <w:rFonts w:hint="default"/>
        <w:lang w:val="en-US" w:eastAsia="en-US" w:bidi="en-US"/>
      </w:rPr>
    </w:lvl>
    <w:lvl w:ilvl="3" w:tplc="459E4B34">
      <w:numFmt w:val="bullet"/>
      <w:lvlText w:val="•"/>
      <w:lvlJc w:val="left"/>
      <w:pPr>
        <w:ind w:left="1379" w:hanging="288"/>
      </w:pPr>
      <w:rPr>
        <w:rFonts w:hint="default"/>
        <w:lang w:val="en-US" w:eastAsia="en-US" w:bidi="en-US"/>
      </w:rPr>
    </w:lvl>
    <w:lvl w:ilvl="4" w:tplc="7E7CC99C">
      <w:numFmt w:val="bullet"/>
      <w:lvlText w:val="•"/>
      <w:lvlJc w:val="left"/>
      <w:pPr>
        <w:ind w:left="1799" w:hanging="288"/>
      </w:pPr>
      <w:rPr>
        <w:rFonts w:hint="default"/>
        <w:lang w:val="en-US" w:eastAsia="en-US" w:bidi="en-US"/>
      </w:rPr>
    </w:lvl>
    <w:lvl w:ilvl="5" w:tplc="DD721A2E">
      <w:numFmt w:val="bullet"/>
      <w:lvlText w:val="•"/>
      <w:lvlJc w:val="left"/>
      <w:pPr>
        <w:ind w:left="2219" w:hanging="288"/>
      </w:pPr>
      <w:rPr>
        <w:rFonts w:hint="default"/>
        <w:lang w:val="en-US" w:eastAsia="en-US" w:bidi="en-US"/>
      </w:rPr>
    </w:lvl>
    <w:lvl w:ilvl="6" w:tplc="AAAE5900">
      <w:numFmt w:val="bullet"/>
      <w:lvlText w:val="•"/>
      <w:lvlJc w:val="left"/>
      <w:pPr>
        <w:ind w:left="2638" w:hanging="288"/>
      </w:pPr>
      <w:rPr>
        <w:rFonts w:hint="default"/>
        <w:lang w:val="en-US" w:eastAsia="en-US" w:bidi="en-US"/>
      </w:rPr>
    </w:lvl>
    <w:lvl w:ilvl="7" w:tplc="A8A4338E">
      <w:numFmt w:val="bullet"/>
      <w:lvlText w:val="•"/>
      <w:lvlJc w:val="left"/>
      <w:pPr>
        <w:ind w:left="3058" w:hanging="288"/>
      </w:pPr>
      <w:rPr>
        <w:rFonts w:hint="default"/>
        <w:lang w:val="en-US" w:eastAsia="en-US" w:bidi="en-US"/>
      </w:rPr>
    </w:lvl>
    <w:lvl w:ilvl="8" w:tplc="5EA8BE6A">
      <w:numFmt w:val="bullet"/>
      <w:lvlText w:val="•"/>
      <w:lvlJc w:val="left"/>
      <w:pPr>
        <w:ind w:left="3478" w:hanging="288"/>
      </w:pPr>
      <w:rPr>
        <w:rFonts w:hint="default"/>
        <w:lang w:val="en-US" w:eastAsia="en-US" w:bidi="en-US"/>
      </w:rPr>
    </w:lvl>
  </w:abstractNum>
  <w:abstractNum w:abstractNumId="4" w15:restartNumberingAfterBreak="0">
    <w:nsid w:val="5A8D229D"/>
    <w:multiLevelType w:val="hybridMultilevel"/>
    <w:tmpl w:val="0E58BF68"/>
    <w:lvl w:ilvl="0" w:tplc="8CBA5356">
      <w:start w:val="1"/>
      <w:numFmt w:val="lowerLetter"/>
      <w:lvlText w:val="(%1)"/>
      <w:lvlJc w:val="left"/>
      <w:pPr>
        <w:ind w:left="840" w:hanging="334"/>
      </w:pPr>
      <w:rPr>
        <w:rFonts w:ascii="Arial" w:eastAsia="Arial" w:hAnsi="Arial" w:cs="Arial" w:hint="default"/>
        <w:w w:val="100"/>
        <w:sz w:val="22"/>
        <w:szCs w:val="22"/>
        <w:lang w:val="en-US" w:eastAsia="en-US" w:bidi="en-US"/>
      </w:rPr>
    </w:lvl>
    <w:lvl w:ilvl="1" w:tplc="8DD486C2">
      <w:start w:val="1"/>
      <w:numFmt w:val="decimal"/>
      <w:lvlText w:val="%2."/>
      <w:lvlJc w:val="left"/>
      <w:pPr>
        <w:ind w:left="840" w:hanging="245"/>
      </w:pPr>
      <w:rPr>
        <w:rFonts w:ascii="Arial" w:eastAsia="Arial" w:hAnsi="Arial" w:cs="Arial" w:hint="default"/>
        <w:w w:val="100"/>
        <w:sz w:val="22"/>
        <w:szCs w:val="22"/>
        <w:lang w:val="en-US" w:eastAsia="en-US" w:bidi="en-US"/>
      </w:rPr>
    </w:lvl>
    <w:lvl w:ilvl="2" w:tplc="5CC6B664">
      <w:numFmt w:val="bullet"/>
      <w:lvlText w:val="•"/>
      <w:lvlJc w:val="left"/>
      <w:pPr>
        <w:ind w:left="2084" w:hanging="245"/>
      </w:pPr>
      <w:rPr>
        <w:rFonts w:hint="default"/>
        <w:lang w:val="en-US" w:eastAsia="en-US" w:bidi="en-US"/>
      </w:rPr>
    </w:lvl>
    <w:lvl w:ilvl="3" w:tplc="B1E4F6CC">
      <w:numFmt w:val="bullet"/>
      <w:lvlText w:val="•"/>
      <w:lvlJc w:val="left"/>
      <w:pPr>
        <w:ind w:left="3228" w:hanging="245"/>
      </w:pPr>
      <w:rPr>
        <w:rFonts w:hint="default"/>
        <w:lang w:val="en-US" w:eastAsia="en-US" w:bidi="en-US"/>
      </w:rPr>
    </w:lvl>
    <w:lvl w:ilvl="4" w:tplc="A73E9CEC">
      <w:numFmt w:val="bullet"/>
      <w:lvlText w:val="•"/>
      <w:lvlJc w:val="left"/>
      <w:pPr>
        <w:ind w:left="4373" w:hanging="245"/>
      </w:pPr>
      <w:rPr>
        <w:rFonts w:hint="default"/>
        <w:lang w:val="en-US" w:eastAsia="en-US" w:bidi="en-US"/>
      </w:rPr>
    </w:lvl>
    <w:lvl w:ilvl="5" w:tplc="7B5A92E2">
      <w:numFmt w:val="bullet"/>
      <w:lvlText w:val="•"/>
      <w:lvlJc w:val="left"/>
      <w:pPr>
        <w:ind w:left="5517" w:hanging="245"/>
      </w:pPr>
      <w:rPr>
        <w:rFonts w:hint="default"/>
        <w:lang w:val="en-US" w:eastAsia="en-US" w:bidi="en-US"/>
      </w:rPr>
    </w:lvl>
    <w:lvl w:ilvl="6" w:tplc="7E32A286">
      <w:numFmt w:val="bullet"/>
      <w:lvlText w:val="•"/>
      <w:lvlJc w:val="left"/>
      <w:pPr>
        <w:ind w:left="6662" w:hanging="245"/>
      </w:pPr>
      <w:rPr>
        <w:rFonts w:hint="default"/>
        <w:lang w:val="en-US" w:eastAsia="en-US" w:bidi="en-US"/>
      </w:rPr>
    </w:lvl>
    <w:lvl w:ilvl="7" w:tplc="99FA9BE0">
      <w:numFmt w:val="bullet"/>
      <w:lvlText w:val="•"/>
      <w:lvlJc w:val="left"/>
      <w:pPr>
        <w:ind w:left="7806" w:hanging="245"/>
      </w:pPr>
      <w:rPr>
        <w:rFonts w:hint="default"/>
        <w:lang w:val="en-US" w:eastAsia="en-US" w:bidi="en-US"/>
      </w:rPr>
    </w:lvl>
    <w:lvl w:ilvl="8" w:tplc="54803D90">
      <w:numFmt w:val="bullet"/>
      <w:lvlText w:val="•"/>
      <w:lvlJc w:val="left"/>
      <w:pPr>
        <w:ind w:left="8951" w:hanging="245"/>
      </w:pPr>
      <w:rPr>
        <w:rFonts w:hint="default"/>
        <w:lang w:val="en-US" w:eastAsia="en-US" w:bidi="en-U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sDSyMDAxMjQ3sTRU0lEKTi0uzszPAykwrAUAmBj7+CwAAAA="/>
  </w:docVars>
  <w:rsids>
    <w:rsidRoot w:val="001C5CBC"/>
    <w:rsid w:val="001C5CBC"/>
    <w:rsid w:val="0083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0F4B2942"/>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40"/>
      <w:outlineLvl w:val="0"/>
    </w:pPr>
    <w:rPr>
      <w:b/>
      <w:bCs/>
    </w:rPr>
  </w:style>
  <w:style w:type="paragraph" w:styleId="Heading2">
    <w:name w:val="heading 2"/>
    <w:basedOn w:val="Heading1"/>
    <w:next w:val="Normal"/>
    <w:link w:val="Heading2Char"/>
    <w:uiPriority w:val="9"/>
    <w:unhideWhenUsed/>
    <w:qFormat/>
    <w:rsid w:val="00834923"/>
    <w:pPr>
      <w:numPr>
        <w:numId w:val="5"/>
      </w:numPr>
      <w:tabs>
        <w:tab w:val="left" w:pos="1920"/>
        <w:tab w:val="left" w:pos="1921"/>
      </w:tabs>
      <w:spacing w:before="298"/>
      <w:ind w:hanging="721"/>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firstLine="71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34923"/>
    <w:rPr>
      <w:rFonts w:ascii="Arial" w:eastAsia="Arial" w:hAnsi="Arial" w:cs="Arial"/>
      <w:b/>
      <w:bCs/>
      <w:lang w:bidi="en-US"/>
    </w:rPr>
  </w:style>
  <w:style w:type="paragraph" w:styleId="BalloonText">
    <w:name w:val="Balloon Text"/>
    <w:basedOn w:val="Normal"/>
    <w:link w:val="BalloonTextChar"/>
    <w:uiPriority w:val="99"/>
    <w:semiHidden/>
    <w:unhideWhenUsed/>
    <w:rsid w:val="00834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923"/>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showell@unf.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063A8426014DE2BB4839F2CDD84378"/>
        <w:category>
          <w:name w:val="General"/>
          <w:gallery w:val="placeholder"/>
        </w:category>
        <w:types>
          <w:type w:val="bbPlcHdr"/>
        </w:types>
        <w:behaviors>
          <w:behavior w:val="content"/>
        </w:behaviors>
        <w:guid w:val="{C15E3FDA-4226-4393-8BA5-4CC4A4C91DED}"/>
      </w:docPartPr>
      <w:docPartBody>
        <w:p w:rsidR="00000000" w:rsidRDefault="003D54F6" w:rsidP="003D54F6">
          <w:pPr>
            <w:pStyle w:val="15063A8426014DE2BB4839F2CDD8437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F6"/>
    <w:rsid w:val="003D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4F6"/>
    <w:rPr>
      <w:color w:val="808080"/>
    </w:rPr>
  </w:style>
  <w:style w:type="paragraph" w:customStyle="1" w:styleId="15063A8426014DE2BB4839F2CDD84378">
    <w:name w:val="15063A8426014DE2BB4839F2CDD84378"/>
    <w:rsid w:val="003D5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3EBF1C2C-9E8B-4A0B-8229-6F4A13711F2E}"/>
</file>

<file path=customXml/itemProps2.xml><?xml version="1.0" encoding="utf-8"?>
<ds:datastoreItem xmlns:ds="http://schemas.openxmlformats.org/officeDocument/2006/customXml" ds:itemID="{58E8B1BE-45A2-452E-B050-A2771CBC3EFF}"/>
</file>

<file path=customXml/itemProps3.xml><?xml version="1.0" encoding="utf-8"?>
<ds:datastoreItem xmlns:ds="http://schemas.openxmlformats.org/officeDocument/2006/customXml" ds:itemID="{A015F473-E33D-454F-99D2-58D186F5052F}"/>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Rossomano, Nicole</cp:lastModifiedBy>
  <cp:revision>2</cp:revision>
  <dcterms:created xsi:type="dcterms:W3CDTF">2020-01-15T19:19:00Z</dcterms:created>
  <dcterms:modified xsi:type="dcterms:W3CDTF">2020-01-15T19:19:00Z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2013-10-09T00:00:00Z</vt:filetime>
  </property>
  <property fmtid="{D5CDD505-2E9C-101B-9397-08002B2CF9AE}" pid="3" name="Creator">
    <vt:lpwstr>Microsoft® Word 2010</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