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9E" w:rsidRPr="00742D14" w:rsidRDefault="009B579E">
      <w:pPr>
        <w:pStyle w:val="BodyText"/>
        <w:rPr>
          <w:sz w:val="20"/>
        </w:rPr>
      </w:pPr>
    </w:p>
    <w:p w:rsidR="009B579E" w:rsidRPr="00742D14" w:rsidRDefault="009B579E">
      <w:pPr>
        <w:pStyle w:val="BodyText"/>
        <w:rPr>
          <w:sz w:val="20"/>
        </w:rPr>
      </w:pPr>
    </w:p>
    <w:p w:rsidR="009B579E" w:rsidRPr="00742D14" w:rsidRDefault="009B579E">
      <w:pPr>
        <w:pStyle w:val="BodyText"/>
        <w:spacing w:before="2"/>
        <w:rPr>
          <w:sz w:val="28"/>
        </w:rPr>
      </w:pPr>
    </w:p>
    <w:p w:rsidR="009B579E" w:rsidRPr="00742D14" w:rsidRDefault="00742D14" w:rsidP="00742D14">
      <w:pPr>
        <w:pStyle w:val="Heading1"/>
      </w:pPr>
      <w:r w:rsidRPr="00742D14">
        <w:t>NOTICE OF AMENDED REGULATION</w:t>
      </w:r>
    </w:p>
    <w:p w:rsidR="009B579E" w:rsidRPr="00742D14" w:rsidRDefault="009B579E">
      <w:pPr>
        <w:pStyle w:val="BodyText"/>
        <w:rPr>
          <w:rFonts w:ascii="Arial"/>
          <w:b/>
          <w:sz w:val="22"/>
        </w:rPr>
      </w:pPr>
    </w:p>
    <w:p w:rsidR="009B579E" w:rsidRPr="00742D14" w:rsidRDefault="00742D14">
      <w:pPr>
        <w:ind w:left="2835" w:right="2835"/>
        <w:jc w:val="center"/>
        <w:rPr>
          <w:rFonts w:ascii="Arial"/>
          <w:b/>
        </w:rPr>
      </w:pPr>
      <w:r w:rsidRPr="00742D14">
        <w:rPr>
          <w:rFonts w:ascii="Arial"/>
          <w:b/>
        </w:rPr>
        <w:t>September 6, 2013</w:t>
      </w:r>
    </w:p>
    <w:p w:rsidR="009B579E" w:rsidRPr="00742D14" w:rsidRDefault="009B579E">
      <w:pPr>
        <w:pStyle w:val="BodyText"/>
        <w:rPr>
          <w:rFonts w:ascii="Arial"/>
          <w:b/>
          <w:sz w:val="22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DEPARTMENT OF EDUCATION</w:t>
      </w:r>
    </w:p>
    <w:p w:rsidR="009B579E" w:rsidRPr="00742D14" w:rsidRDefault="00742D14">
      <w:pPr>
        <w:spacing w:before="2"/>
        <w:ind w:left="119" w:right="6918"/>
        <w:rPr>
          <w:rFonts w:ascii="Arial"/>
        </w:rPr>
      </w:pPr>
      <w:r w:rsidRPr="00742D14">
        <w:rPr>
          <w:rFonts w:ascii="Arial"/>
        </w:rPr>
        <w:t>Division of Universities University of North Florida</w:t>
      </w:r>
    </w:p>
    <w:p w:rsidR="009B579E" w:rsidRPr="00742D14" w:rsidRDefault="009B579E">
      <w:pPr>
        <w:pStyle w:val="BodyText"/>
        <w:spacing w:before="10"/>
        <w:rPr>
          <w:rFonts w:ascii="Arial"/>
          <w:sz w:val="21"/>
        </w:rPr>
      </w:pPr>
    </w:p>
    <w:p w:rsidR="009B579E" w:rsidRPr="00742D14" w:rsidRDefault="00742D14">
      <w:pPr>
        <w:spacing w:before="1"/>
        <w:ind w:left="119"/>
        <w:rPr>
          <w:rFonts w:ascii="Arial"/>
          <w:b/>
        </w:rPr>
      </w:pPr>
      <w:r w:rsidRPr="00742D14">
        <w:rPr>
          <w:rFonts w:ascii="Arial"/>
          <w:b/>
        </w:rPr>
        <w:t>REGULATION TITLE:</w:t>
      </w:r>
    </w:p>
    <w:p w:rsidR="009B579E" w:rsidRPr="00742D14" w:rsidRDefault="00742D14">
      <w:pPr>
        <w:spacing w:before="1"/>
        <w:ind w:left="119"/>
        <w:rPr>
          <w:rFonts w:ascii="Arial"/>
        </w:rPr>
      </w:pPr>
      <w:r w:rsidRPr="00742D14">
        <w:rPr>
          <w:rFonts w:ascii="Arial"/>
        </w:rPr>
        <w:t>Payment of Tuition and Fees</w:t>
      </w:r>
    </w:p>
    <w:p w:rsidR="009B579E" w:rsidRPr="00742D14" w:rsidRDefault="009B579E">
      <w:pPr>
        <w:pStyle w:val="BodyText"/>
        <w:spacing w:before="9"/>
        <w:rPr>
          <w:rFonts w:ascii="Arial"/>
          <w:sz w:val="21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REGULATION NO.:</w:t>
      </w:r>
    </w:p>
    <w:p w:rsidR="009B579E" w:rsidRPr="00742D14" w:rsidRDefault="00742D14">
      <w:pPr>
        <w:spacing w:before="2"/>
        <w:ind w:left="119"/>
        <w:rPr>
          <w:rFonts w:ascii="Arial"/>
        </w:rPr>
      </w:pPr>
      <w:r w:rsidRPr="00742D14">
        <w:rPr>
          <w:rFonts w:ascii="Arial"/>
        </w:rPr>
        <w:t>11.0030R</w:t>
      </w:r>
    </w:p>
    <w:p w:rsidR="009B579E" w:rsidRPr="00742D14" w:rsidRDefault="009B579E">
      <w:pPr>
        <w:pStyle w:val="BodyText"/>
        <w:spacing w:before="9"/>
        <w:rPr>
          <w:rFonts w:ascii="Arial"/>
          <w:sz w:val="21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SUMMARY:</w:t>
      </w:r>
    </w:p>
    <w:p w:rsidR="009B579E" w:rsidRPr="00742D14" w:rsidRDefault="00742D14">
      <w:pPr>
        <w:spacing w:before="2"/>
        <w:ind w:left="119" w:right="729"/>
        <w:rPr>
          <w:rFonts w:ascii="Arial"/>
        </w:rPr>
      </w:pPr>
      <w:r w:rsidRPr="00742D14">
        <w:rPr>
          <w:rFonts w:ascii="Arial"/>
        </w:rPr>
        <w:t>The regulation is being amended in order to allow for multiple payment plans. As currently written, the regulation only allows for a half-and-half payment plan.</w:t>
      </w:r>
    </w:p>
    <w:p w:rsidR="009B579E" w:rsidRPr="00742D14" w:rsidRDefault="009B579E">
      <w:pPr>
        <w:pStyle w:val="BodyText"/>
        <w:spacing w:before="10"/>
        <w:rPr>
          <w:rFonts w:ascii="Arial"/>
          <w:sz w:val="21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FULL TEXT:</w:t>
      </w:r>
    </w:p>
    <w:p w:rsidR="009B579E" w:rsidRPr="00742D14" w:rsidRDefault="00742D14">
      <w:pPr>
        <w:spacing w:before="2"/>
        <w:ind w:left="119"/>
        <w:rPr>
          <w:rFonts w:ascii="Arial"/>
        </w:rPr>
      </w:pPr>
      <w:r w:rsidRPr="00742D14">
        <w:rPr>
          <w:rFonts w:ascii="Arial"/>
        </w:rPr>
        <w:t>The full text of the regulation being proposed is attached.</w:t>
      </w:r>
    </w:p>
    <w:p w:rsidR="009B579E" w:rsidRPr="00742D14" w:rsidRDefault="009B579E">
      <w:pPr>
        <w:pStyle w:val="BodyText"/>
        <w:spacing w:before="9"/>
        <w:rPr>
          <w:rFonts w:ascii="Arial"/>
          <w:sz w:val="21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AUTHORITY:</w:t>
      </w:r>
    </w:p>
    <w:p w:rsidR="009B579E" w:rsidRPr="00742D14" w:rsidRDefault="00742D14">
      <w:pPr>
        <w:spacing w:before="2"/>
        <w:ind w:left="119" w:right="2464"/>
        <w:rPr>
          <w:rFonts w:ascii="Arial"/>
        </w:rPr>
      </w:pPr>
      <w:r w:rsidRPr="00742D14">
        <w:rPr>
          <w:rFonts w:ascii="Arial"/>
        </w:rPr>
        <w:t>Resolution of the Florida Board of Governors dated January 7, 2003, Florida Statutes 1009.24, 1009.27, 1010.03 and BOG Regulation 7.001.</w:t>
      </w:r>
    </w:p>
    <w:p w:rsidR="009B579E" w:rsidRPr="00742D14" w:rsidRDefault="009B579E">
      <w:pPr>
        <w:pStyle w:val="BodyText"/>
        <w:spacing w:before="8"/>
        <w:rPr>
          <w:rFonts w:ascii="Arial"/>
          <w:sz w:val="21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UNIVERSITY OFFICIAL INITIATING THE PROPOSED RE</w:t>
      </w:r>
      <w:r w:rsidRPr="00742D14">
        <w:rPr>
          <w:rFonts w:ascii="Arial"/>
          <w:b/>
        </w:rPr>
        <w:t>VISED REGULATION:</w:t>
      </w:r>
    </w:p>
    <w:p w:rsidR="009B579E" w:rsidRPr="00742D14" w:rsidRDefault="00742D14">
      <w:pPr>
        <w:spacing w:before="4"/>
        <w:ind w:left="119"/>
        <w:rPr>
          <w:rFonts w:ascii="Arial"/>
        </w:rPr>
      </w:pPr>
      <w:r w:rsidRPr="00742D14">
        <w:rPr>
          <w:rFonts w:ascii="Arial"/>
        </w:rPr>
        <w:t>Shari Shuman, Administration and Finance</w:t>
      </w:r>
    </w:p>
    <w:p w:rsidR="009B579E" w:rsidRPr="00742D14" w:rsidRDefault="009B579E">
      <w:pPr>
        <w:pStyle w:val="BodyText"/>
        <w:rPr>
          <w:rFonts w:ascii="Arial"/>
        </w:rPr>
      </w:pPr>
    </w:p>
    <w:p w:rsidR="009B579E" w:rsidRPr="00742D14" w:rsidRDefault="009B579E">
      <w:pPr>
        <w:pStyle w:val="BodyText"/>
        <w:spacing w:before="8"/>
        <w:rPr>
          <w:rFonts w:ascii="Arial"/>
          <w:sz w:val="19"/>
        </w:rPr>
      </w:pPr>
    </w:p>
    <w:p w:rsidR="009B579E" w:rsidRPr="00742D14" w:rsidRDefault="00742D14">
      <w:pPr>
        <w:ind w:left="119"/>
        <w:rPr>
          <w:rFonts w:ascii="Arial"/>
          <w:b/>
        </w:rPr>
      </w:pPr>
      <w:r w:rsidRPr="00742D14">
        <w:rPr>
          <w:rFonts w:ascii="Arial"/>
          <w:b/>
        </w:rPr>
        <w:t>INDIVIDUAL TO BE CONTACTED REGARDING THE PROPOSED REVISED REGULATION:</w:t>
      </w:r>
    </w:p>
    <w:p w:rsidR="009B579E" w:rsidRPr="00742D14" w:rsidRDefault="00742D14">
      <w:pPr>
        <w:spacing w:before="4"/>
        <w:ind w:left="120" w:right="114" w:hanging="1"/>
        <w:rPr>
          <w:rFonts w:ascii="Arial"/>
        </w:rPr>
      </w:pPr>
      <w:r w:rsidRPr="00742D14">
        <w:rPr>
          <w:rFonts w:ascii="Arial"/>
        </w:rPr>
        <w:t xml:space="preserve">Stephanie Howell, Paralegal, Office of the General Counsel, </w:t>
      </w:r>
      <w:hyperlink r:id="rId7">
        <w:r w:rsidRPr="00742D14">
          <w:rPr>
            <w:rFonts w:ascii="Arial"/>
            <w:color w:val="0000FF"/>
          </w:rPr>
          <w:t>showell@unf.edu</w:t>
        </w:r>
        <w:r w:rsidRPr="00742D14">
          <w:rPr>
            <w:rFonts w:ascii="Arial"/>
          </w:rPr>
          <w:t xml:space="preserve">, </w:t>
        </w:r>
      </w:hyperlink>
      <w:r w:rsidRPr="00742D14">
        <w:rPr>
          <w:rFonts w:ascii="Arial"/>
        </w:rPr>
        <w:t xml:space="preserve">phone </w:t>
      </w:r>
      <w:r w:rsidRPr="00742D14">
        <w:rPr>
          <w:rFonts w:ascii="Arial"/>
        </w:rPr>
        <w:t>(904)620- 2828; fax (904)620-1044; Building 1, Room 2100, 1 UNF Drive, Jacksonville, FL 32224.</w:t>
      </w:r>
    </w:p>
    <w:p w:rsidR="009B579E" w:rsidRPr="00742D14" w:rsidRDefault="009B579E">
      <w:pPr>
        <w:pStyle w:val="BodyText"/>
        <w:spacing w:before="1"/>
        <w:rPr>
          <w:rFonts w:ascii="Arial"/>
          <w:sz w:val="22"/>
        </w:rPr>
      </w:pPr>
    </w:p>
    <w:p w:rsidR="009B579E" w:rsidRPr="00742D14" w:rsidRDefault="00742D14" w:rsidP="00742D14">
      <w:pPr>
        <w:ind w:left="119" w:right="220"/>
        <w:rPr>
          <w:rFonts w:ascii="Arial"/>
          <w:b/>
          <w:i/>
        </w:rPr>
        <w:sectPr w:rsidR="009B579E" w:rsidRPr="00742D14" w:rsidSect="00742D14">
          <w:footerReference w:type="default" r:id="rId8"/>
          <w:type w:val="continuous"/>
          <w:pgSz w:w="12240" w:h="15840"/>
          <w:pgMar w:top="1500" w:right="1320" w:bottom="280" w:left="1320" w:header="720" w:footer="720" w:gutter="0"/>
          <w:pgNumType w:fmt="numberInDash" w:start="0"/>
          <w:cols w:space="720"/>
        </w:sectPr>
      </w:pPr>
      <w:r w:rsidRPr="00742D14">
        <w:rPr>
          <w:rFonts w:ascii="Arial"/>
          <w:b/>
          <w:i/>
        </w:rPr>
        <w:t>Any comments regarding the amendment of the regulation must be sent in writing to the contact person on or before September 23, 2</w:t>
      </w:r>
      <w:bookmarkStart w:id="0" w:name="_GoBack"/>
      <w:bookmarkEnd w:id="0"/>
      <w:r w:rsidRPr="00742D14">
        <w:rPr>
          <w:rFonts w:ascii="Arial"/>
          <w:b/>
          <w:i/>
        </w:rPr>
        <w:t>013, to receive full considerat</w:t>
      </w:r>
      <w:r w:rsidRPr="00742D14">
        <w:rPr>
          <w:rFonts w:ascii="Arial"/>
          <w:b/>
          <w:i/>
        </w:rPr>
        <w:t>ion.</w:t>
      </w:r>
    </w:p>
    <w:p w:rsidR="009B579E" w:rsidRPr="00742D14" w:rsidRDefault="009B579E">
      <w:pPr>
        <w:pStyle w:val="BodyText"/>
        <w:rPr>
          <w:rFonts w:ascii="Arial"/>
          <w:b/>
          <w:i/>
          <w:sz w:val="20"/>
        </w:rPr>
      </w:pPr>
    </w:p>
    <w:p w:rsidR="009B579E" w:rsidRPr="00742D14" w:rsidRDefault="009B579E">
      <w:pPr>
        <w:pStyle w:val="BodyText"/>
        <w:spacing w:before="10"/>
        <w:rPr>
          <w:rFonts w:ascii="Arial"/>
          <w:b/>
          <w:i/>
          <w:sz w:val="19"/>
        </w:rPr>
      </w:pPr>
    </w:p>
    <w:p w:rsidR="00742D14" w:rsidRPr="00742D14" w:rsidRDefault="00742D14" w:rsidP="00742D14">
      <w:pPr>
        <w:tabs>
          <w:tab w:val="left" w:pos="475"/>
        </w:tabs>
        <w:rPr>
          <w:rFonts w:ascii="Arial"/>
          <w:sz w:val="20"/>
        </w:rPr>
      </w:pPr>
      <w:bookmarkStart w:id="1" w:name="I._STATEMENT_OF_REGULATION"/>
      <w:bookmarkEnd w:id="1"/>
    </w:p>
    <w:p w:rsidR="00742D14" w:rsidRPr="00742D14" w:rsidRDefault="00742D14" w:rsidP="00742D14">
      <w:pPr>
        <w:widowControl/>
        <w:autoSpaceDE/>
        <w:autoSpaceDN/>
        <w:spacing w:after="330" w:line="259" w:lineRule="auto"/>
        <w:rPr>
          <w:color w:val="000000"/>
          <w:sz w:val="24"/>
          <w:lang w:bidi="ar-SA"/>
        </w:rPr>
      </w:pPr>
      <w:r w:rsidRPr="00742D14">
        <w:rPr>
          <w:noProof/>
          <w:color w:val="000000"/>
          <w:sz w:val="24"/>
          <w:lang w:bidi="ar-SA"/>
        </w:rPr>
        <w:drawing>
          <wp:inline distT="0" distB="0" distL="0" distR="0" wp14:anchorId="2CF0BE06" wp14:editId="2AB6C306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  <w:r w:rsidRPr="00742D14">
        <w:rPr>
          <w:b/>
          <w:sz w:val="24"/>
          <w:szCs w:val="24"/>
          <w:lang w:bidi="ar-SA"/>
        </w:rPr>
        <w:t>Regulation Number</w:t>
      </w:r>
      <w:r w:rsidRPr="00742D14">
        <w:rPr>
          <w:sz w:val="24"/>
          <w:szCs w:val="24"/>
          <w:lang w:bidi="ar-SA"/>
        </w:rPr>
        <w:t xml:space="preserve">: </w:t>
      </w:r>
      <w:sdt>
        <w:sdtPr>
          <w:rPr>
            <w:sz w:val="24"/>
            <w:szCs w:val="24"/>
            <w:lang w:bidi="ar-SA"/>
          </w:rPr>
          <w:id w:val="580724233"/>
          <w:placeholder>
            <w:docPart w:val="1D290C4B0B38431EACCDF921153ECC69"/>
          </w:placeholder>
          <w:text/>
        </w:sdtPr>
        <w:sdtContent>
          <w:r w:rsidRPr="00742D14">
            <w:rPr>
              <w:sz w:val="24"/>
              <w:szCs w:val="24"/>
              <w:lang w:bidi="ar-SA"/>
            </w:rPr>
            <w:t>11.0030R</w:t>
          </w:r>
        </w:sdtContent>
      </w:sdt>
      <w:r w:rsidRPr="00742D14">
        <w:rPr>
          <w:sz w:val="24"/>
          <w:szCs w:val="24"/>
          <w:lang w:bidi="ar-SA"/>
        </w:rPr>
        <w:tab/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</w:p>
    <w:p w:rsidR="00742D14" w:rsidRPr="00742D14" w:rsidRDefault="00742D14" w:rsidP="00742D14">
      <w:pPr>
        <w:rPr>
          <w:sz w:val="24"/>
          <w:szCs w:val="24"/>
          <w:lang w:bidi="ar-SA"/>
        </w:rPr>
      </w:pPr>
      <w:r w:rsidRPr="00742D14">
        <w:rPr>
          <w:b/>
          <w:sz w:val="24"/>
          <w:szCs w:val="24"/>
          <w:lang w:bidi="ar-SA"/>
        </w:rPr>
        <w:t>Effective Date</w:t>
      </w:r>
      <w:r w:rsidRPr="00742D14">
        <w:rPr>
          <w:sz w:val="24"/>
          <w:szCs w:val="24"/>
          <w:lang w:bidi="ar-SA"/>
        </w:rPr>
        <w:t xml:space="preserve">:  </w:t>
      </w:r>
      <w:sdt>
        <w:sdtPr>
          <w:rPr>
            <w:sz w:val="24"/>
            <w:szCs w:val="24"/>
            <w:lang w:bidi="ar-SA"/>
          </w:rPr>
          <w:id w:val="-141660163"/>
          <w:placeholder>
            <w:docPart w:val="1D290C4B0B38431EACCDF921153ECC69"/>
          </w:placeholder>
          <w:text/>
        </w:sdtPr>
        <w:sdtContent>
          <w:r w:rsidRPr="00742D14">
            <w:rPr>
              <w:sz w:val="24"/>
              <w:szCs w:val="24"/>
              <w:lang w:bidi="ar-SA"/>
            </w:rPr>
            <w:t>10/20/05</w:t>
          </w:r>
        </w:sdtContent>
      </w:sdt>
      <w:r w:rsidRPr="00742D14">
        <w:rPr>
          <w:sz w:val="24"/>
          <w:szCs w:val="24"/>
          <w:lang w:bidi="ar-SA"/>
        </w:rPr>
        <w:tab/>
      </w:r>
      <w:r w:rsidRPr="00742D14">
        <w:rPr>
          <w:sz w:val="24"/>
          <w:szCs w:val="24"/>
          <w:lang w:bidi="ar-SA"/>
        </w:rPr>
        <w:tab/>
      </w:r>
      <w:r w:rsidRPr="00742D14">
        <w:rPr>
          <w:b/>
          <w:sz w:val="24"/>
          <w:szCs w:val="24"/>
          <w:lang w:bidi="ar-SA"/>
        </w:rPr>
        <w:t>Revised Date</w:t>
      </w:r>
      <w:r w:rsidRPr="00742D14">
        <w:rPr>
          <w:sz w:val="24"/>
          <w:szCs w:val="24"/>
          <w:lang w:bidi="ar-SA"/>
        </w:rPr>
        <w:t xml:space="preserve">: </w:t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</w:p>
    <w:p w:rsidR="00742D14" w:rsidRPr="00742D14" w:rsidRDefault="00742D14" w:rsidP="00742D14">
      <w:pPr>
        <w:widowControl/>
        <w:autoSpaceDE/>
        <w:autoSpaceDN/>
        <w:spacing w:line="259" w:lineRule="auto"/>
        <w:outlineLvl w:val="0"/>
        <w:rPr>
          <w:b/>
          <w:color w:val="000000"/>
          <w:sz w:val="24"/>
          <w:lang w:bidi="ar-SA"/>
        </w:rPr>
      </w:pPr>
      <w:r w:rsidRPr="00742D14">
        <w:rPr>
          <w:b/>
          <w:color w:val="000000"/>
          <w:sz w:val="24"/>
          <w:lang w:bidi="ar-SA"/>
        </w:rPr>
        <w:t xml:space="preserve">Subject: </w:t>
      </w:r>
      <w:sdt>
        <w:sdtPr>
          <w:rPr>
            <w:b/>
            <w:color w:val="000000"/>
            <w:sz w:val="24"/>
            <w:lang w:bidi="ar-SA"/>
          </w:rPr>
          <w:id w:val="-1459642324"/>
          <w:placeholder>
            <w:docPart w:val="1D290C4B0B38431EACCDF921153ECC69"/>
          </w:placeholder>
          <w:text/>
        </w:sdtPr>
        <w:sdtContent>
          <w:r w:rsidRPr="00742D14">
            <w:rPr>
              <w:b/>
              <w:color w:val="000000"/>
              <w:sz w:val="24"/>
              <w:lang w:bidi="ar-SA"/>
            </w:rPr>
            <w:t>Payment of Tuition and Fees</w:t>
          </w:r>
        </w:sdtContent>
      </w:sdt>
    </w:p>
    <w:p w:rsidR="00742D14" w:rsidRPr="00742D14" w:rsidRDefault="00742D14" w:rsidP="00742D14">
      <w:pPr>
        <w:rPr>
          <w:b/>
          <w:sz w:val="24"/>
          <w:szCs w:val="24"/>
        </w:rPr>
      </w:pPr>
    </w:p>
    <w:p w:rsidR="00742D14" w:rsidRPr="00742D14" w:rsidRDefault="00742D14" w:rsidP="00742D14">
      <w:pPr>
        <w:rPr>
          <w:sz w:val="24"/>
          <w:szCs w:val="24"/>
        </w:rPr>
      </w:pPr>
      <w:r w:rsidRPr="00742D14">
        <w:rPr>
          <w:b/>
          <w:sz w:val="24"/>
          <w:szCs w:val="24"/>
        </w:rPr>
        <w:t>Responsible Division/Department</w:t>
      </w:r>
      <w:r w:rsidRPr="00742D1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3540150"/>
          <w:placeholder>
            <w:docPart w:val="1D290C4B0B38431EACCDF921153ECC69"/>
          </w:placeholder>
          <w:text/>
        </w:sdtPr>
        <w:sdtContent>
          <w:r w:rsidRPr="00742D14">
            <w:rPr>
              <w:sz w:val="24"/>
              <w:szCs w:val="24"/>
            </w:rPr>
            <w:t>Administration and Finance/ Budget</w:t>
          </w:r>
        </w:sdtContent>
      </w:sdt>
    </w:p>
    <w:p w:rsidR="00742D14" w:rsidRPr="00742D14" w:rsidRDefault="00742D14" w:rsidP="00742D14">
      <w:pPr>
        <w:rPr>
          <w:sz w:val="24"/>
          <w:szCs w:val="24"/>
        </w:rPr>
      </w:pPr>
    </w:p>
    <w:p w:rsidR="00742D14" w:rsidRPr="00742D14" w:rsidRDefault="00742D14" w:rsidP="00742D14">
      <w:pPr>
        <w:rPr>
          <w:b/>
          <w:sz w:val="24"/>
          <w:szCs w:val="24"/>
          <w:lang w:bidi="ar-SA"/>
        </w:rPr>
      </w:pPr>
      <w:r w:rsidRPr="00742D14">
        <w:rPr>
          <w:b/>
          <w:sz w:val="24"/>
          <w:szCs w:val="24"/>
          <w:lang w:bidi="ar-SA"/>
        </w:rPr>
        <w:t xml:space="preserve">Check what type of Regulation this is: </w:t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2D14">
            <w:rPr>
              <w:rFonts w:ascii="Segoe UI Symbol" w:eastAsia="MS Gothic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Pr="00742D14">
        <w:rPr>
          <w:sz w:val="24"/>
          <w:szCs w:val="24"/>
          <w:lang w:bidi="ar-SA"/>
        </w:rPr>
        <w:t xml:space="preserve">New Regulation </w:t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-8587397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42D14">
            <w:rPr>
              <w:rFonts w:ascii="MS Gothic" w:eastAsia="MS Gothic" w:hAnsi="MS Gothic" w:hint="eastAsia"/>
              <w:sz w:val="24"/>
              <w:szCs w:val="24"/>
              <w:lang w:bidi="ar-SA"/>
            </w:rPr>
            <w:t>☒</w:t>
          </w:r>
        </w:sdtContent>
      </w:sdt>
      <w:r w:rsidRPr="00742D14">
        <w:rPr>
          <w:sz w:val="24"/>
          <w:szCs w:val="24"/>
          <w:lang w:bidi="ar-SA"/>
        </w:rPr>
        <w:t xml:space="preserve">Major Revision of Existing Regulation </w:t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2D14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742D14">
        <w:rPr>
          <w:sz w:val="24"/>
          <w:szCs w:val="24"/>
          <w:lang w:bidi="ar-SA"/>
        </w:rPr>
        <w:t>Minor/Technical Revision of Existing Regulation</w:t>
      </w:r>
    </w:p>
    <w:p w:rsidR="00742D14" w:rsidRPr="00742D14" w:rsidRDefault="00742D14" w:rsidP="00742D14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2D14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742D14">
        <w:rPr>
          <w:sz w:val="24"/>
          <w:szCs w:val="24"/>
          <w:lang w:bidi="ar-SA"/>
        </w:rPr>
        <w:t xml:space="preserve">Reaffirmation of Existing Regulation </w:t>
      </w:r>
    </w:p>
    <w:p w:rsidR="00742D14" w:rsidRPr="00742D14" w:rsidRDefault="00742D14" w:rsidP="00742D14">
      <w:pPr>
        <w:tabs>
          <w:tab w:val="left" w:pos="1199"/>
          <w:tab w:val="left" w:pos="1200"/>
        </w:tabs>
        <w:spacing w:before="90"/>
        <w:rPr>
          <w:b/>
          <w:sz w:val="24"/>
        </w:rPr>
      </w:pPr>
    </w:p>
    <w:p w:rsidR="009B579E" w:rsidRPr="00742D14" w:rsidRDefault="00742D14" w:rsidP="00742D14">
      <w:pPr>
        <w:pStyle w:val="Heading2"/>
      </w:pPr>
      <w:r w:rsidRPr="00742D14">
        <w:t>STATEMENT OF</w:t>
      </w:r>
      <w:r w:rsidRPr="00742D14">
        <w:t xml:space="preserve"> </w:t>
      </w:r>
      <w:r w:rsidRPr="00742D14">
        <w:t>REGULATION</w:t>
      </w:r>
    </w:p>
    <w:p w:rsidR="009B579E" w:rsidRPr="00742D14" w:rsidRDefault="009B579E">
      <w:pPr>
        <w:pStyle w:val="BodyText"/>
        <w:spacing w:before="7"/>
        <w:rPr>
          <w:b/>
          <w:sz w:val="23"/>
        </w:rPr>
      </w:pPr>
    </w:p>
    <w:p w:rsidR="009B579E" w:rsidRPr="00742D14" w:rsidRDefault="00742D14">
      <w:pPr>
        <w:pStyle w:val="ListParagraph"/>
        <w:numPr>
          <w:ilvl w:val="1"/>
          <w:numId w:val="1"/>
        </w:numPr>
        <w:tabs>
          <w:tab w:val="left" w:pos="1539"/>
        </w:tabs>
        <w:ind w:right="295" w:hanging="360"/>
        <w:rPr>
          <w:sz w:val="24"/>
        </w:rPr>
      </w:pPr>
      <w:r w:rsidRPr="00742D14">
        <w:rPr>
          <w:sz w:val="24"/>
        </w:rPr>
        <w:t>The University of North Florida Board of Trustees approves all schedules for tuition, registration and special fees and fines to be assessed and collected by</w:t>
      </w:r>
      <w:r w:rsidRPr="00742D14">
        <w:rPr>
          <w:spacing w:val="-17"/>
          <w:sz w:val="24"/>
        </w:rPr>
        <w:t xml:space="preserve"> </w:t>
      </w:r>
      <w:r w:rsidRPr="00742D14">
        <w:rPr>
          <w:sz w:val="24"/>
        </w:rPr>
        <w:t>the Univ</w:t>
      </w:r>
      <w:r w:rsidRPr="00742D14">
        <w:rPr>
          <w:sz w:val="24"/>
        </w:rPr>
        <w:t>ersity. Students are required to pay in accordance with the following procedures:</w:t>
      </w:r>
    </w:p>
    <w:p w:rsidR="009B579E" w:rsidRPr="00742D14" w:rsidRDefault="009B579E">
      <w:pPr>
        <w:pStyle w:val="BodyText"/>
      </w:pPr>
    </w:p>
    <w:p w:rsidR="009B579E" w:rsidRPr="00742D14" w:rsidRDefault="00742D14">
      <w:pPr>
        <w:pStyle w:val="ListParagraph"/>
        <w:numPr>
          <w:ilvl w:val="1"/>
          <w:numId w:val="1"/>
        </w:numPr>
        <w:tabs>
          <w:tab w:val="left" w:pos="1560"/>
        </w:tabs>
        <w:ind w:right="348" w:hanging="360"/>
        <w:rPr>
          <w:sz w:val="24"/>
        </w:rPr>
      </w:pPr>
      <w:r w:rsidRPr="00742D14">
        <w:rPr>
          <w:sz w:val="24"/>
        </w:rPr>
        <w:t>Past Debts: Prior to registration for any term, students must satisfy all due/delinquent amounts owed to the University, unless other arrangements</w:t>
      </w:r>
      <w:r w:rsidRPr="00742D14">
        <w:rPr>
          <w:spacing w:val="-15"/>
          <w:sz w:val="24"/>
        </w:rPr>
        <w:t xml:space="preserve"> </w:t>
      </w:r>
      <w:r w:rsidRPr="00742D14">
        <w:rPr>
          <w:sz w:val="24"/>
        </w:rPr>
        <w:t>have been</w:t>
      </w:r>
      <w:r w:rsidRPr="00742D14">
        <w:rPr>
          <w:spacing w:val="-1"/>
          <w:sz w:val="24"/>
        </w:rPr>
        <w:t xml:space="preserve"> </w:t>
      </w:r>
      <w:r w:rsidRPr="00742D14">
        <w:rPr>
          <w:sz w:val="24"/>
        </w:rPr>
        <w:t>made.</w:t>
      </w:r>
    </w:p>
    <w:p w:rsidR="009B579E" w:rsidRPr="00742D14" w:rsidRDefault="009B579E">
      <w:pPr>
        <w:pStyle w:val="BodyText"/>
      </w:pPr>
    </w:p>
    <w:p w:rsidR="009B579E" w:rsidRPr="00742D14" w:rsidRDefault="00742D14">
      <w:pPr>
        <w:pStyle w:val="ListParagraph"/>
        <w:numPr>
          <w:ilvl w:val="1"/>
          <w:numId w:val="1"/>
        </w:numPr>
        <w:tabs>
          <w:tab w:val="left" w:pos="1560"/>
        </w:tabs>
        <w:ind w:right="130" w:hanging="360"/>
        <w:rPr>
          <w:sz w:val="24"/>
        </w:rPr>
      </w:pPr>
      <w:r w:rsidRPr="00742D14">
        <w:rPr>
          <w:sz w:val="24"/>
        </w:rPr>
        <w:t>A student’s registration maybe canceled if payment of fees or appropriate arrangements for fee payment has not occurred by the close of the</w:t>
      </w:r>
      <w:r w:rsidRPr="00742D14">
        <w:rPr>
          <w:color w:val="FF0101"/>
          <w:sz w:val="24"/>
        </w:rPr>
        <w:t xml:space="preserve"> </w:t>
      </w:r>
      <w:r w:rsidRPr="00742D14">
        <w:rPr>
          <w:strike/>
          <w:color w:val="C00000"/>
          <w:sz w:val="24"/>
        </w:rPr>
        <w:t xml:space="preserve">drop/add </w:t>
      </w:r>
      <w:proofErr w:type="spellStart"/>
      <w:r w:rsidRPr="00742D14">
        <w:rPr>
          <w:strike/>
          <w:color w:val="C00000"/>
          <w:sz w:val="24"/>
        </w:rPr>
        <w:t>period</w:t>
      </w:r>
      <w:r w:rsidRPr="00742D14">
        <w:rPr>
          <w:color w:val="C00000"/>
          <w:sz w:val="24"/>
        </w:rPr>
        <w:t>tuition</w:t>
      </w:r>
      <w:proofErr w:type="spellEnd"/>
      <w:r w:rsidRPr="00742D14">
        <w:rPr>
          <w:color w:val="C00000"/>
          <w:sz w:val="24"/>
        </w:rPr>
        <w:t xml:space="preserve"> payment deadline</w:t>
      </w:r>
      <w:r w:rsidRPr="00742D14">
        <w:rPr>
          <w:sz w:val="24"/>
        </w:rPr>
        <w:t>, except as provided for in paragraph (3)(b),</w:t>
      </w:r>
      <w:r w:rsidRPr="00742D14">
        <w:rPr>
          <w:spacing w:val="-17"/>
          <w:sz w:val="24"/>
        </w:rPr>
        <w:t xml:space="preserve"> </w:t>
      </w:r>
      <w:r w:rsidRPr="00742D14">
        <w:rPr>
          <w:sz w:val="24"/>
        </w:rPr>
        <w:t>below.</w:t>
      </w:r>
    </w:p>
    <w:p w:rsidR="009B579E" w:rsidRPr="00742D14" w:rsidRDefault="009B579E">
      <w:pPr>
        <w:pStyle w:val="BodyText"/>
        <w:spacing w:before="3"/>
        <w:rPr>
          <w:sz w:val="16"/>
        </w:rPr>
      </w:pPr>
    </w:p>
    <w:p w:rsidR="009B579E" w:rsidRPr="00742D14" w:rsidRDefault="00742D14">
      <w:pPr>
        <w:pStyle w:val="ListParagraph"/>
        <w:numPr>
          <w:ilvl w:val="2"/>
          <w:numId w:val="1"/>
        </w:numPr>
        <w:tabs>
          <w:tab w:val="left" w:pos="1920"/>
        </w:tabs>
        <w:spacing w:before="90"/>
        <w:rPr>
          <w:sz w:val="24"/>
        </w:rPr>
      </w:pPr>
      <w:r w:rsidRPr="00742D14">
        <w:rPr>
          <w:sz w:val="24"/>
        </w:rPr>
        <w:t xml:space="preserve">Registration shall be </w:t>
      </w:r>
      <w:r w:rsidRPr="00742D14">
        <w:rPr>
          <w:sz w:val="24"/>
        </w:rPr>
        <w:t>defined as consisting of these</w:t>
      </w:r>
      <w:r w:rsidRPr="00742D14">
        <w:rPr>
          <w:spacing w:val="-7"/>
          <w:sz w:val="24"/>
        </w:rPr>
        <w:t xml:space="preserve"> </w:t>
      </w:r>
      <w:r w:rsidRPr="00742D14">
        <w:rPr>
          <w:sz w:val="24"/>
        </w:rPr>
        <w:t>components:</w:t>
      </w:r>
    </w:p>
    <w:p w:rsidR="009B579E" w:rsidRPr="00742D14" w:rsidRDefault="009B579E">
      <w:pPr>
        <w:pStyle w:val="BodyText"/>
        <w:spacing w:before="11"/>
        <w:rPr>
          <w:sz w:val="23"/>
        </w:rPr>
      </w:pPr>
    </w:p>
    <w:p w:rsidR="009B579E" w:rsidRPr="00742D14" w:rsidRDefault="00742D14">
      <w:pPr>
        <w:pStyle w:val="ListParagraph"/>
        <w:numPr>
          <w:ilvl w:val="3"/>
          <w:numId w:val="1"/>
        </w:numPr>
        <w:tabs>
          <w:tab w:val="left" w:pos="2280"/>
        </w:tabs>
        <w:rPr>
          <w:sz w:val="24"/>
        </w:rPr>
      </w:pPr>
      <w:r w:rsidRPr="00742D14">
        <w:rPr>
          <w:sz w:val="24"/>
        </w:rPr>
        <w:t>Provision of complete and accurate background</w:t>
      </w:r>
      <w:r w:rsidRPr="00742D14">
        <w:rPr>
          <w:spacing w:val="-5"/>
          <w:sz w:val="24"/>
        </w:rPr>
        <w:t xml:space="preserve"> </w:t>
      </w:r>
      <w:r w:rsidRPr="00742D14">
        <w:rPr>
          <w:sz w:val="24"/>
        </w:rPr>
        <w:t>information;</w:t>
      </w:r>
    </w:p>
    <w:p w:rsidR="009B579E" w:rsidRPr="00742D14" w:rsidRDefault="00742D14">
      <w:pPr>
        <w:pStyle w:val="ListParagraph"/>
        <w:numPr>
          <w:ilvl w:val="3"/>
          <w:numId w:val="1"/>
        </w:numPr>
        <w:tabs>
          <w:tab w:val="left" w:pos="2280"/>
        </w:tabs>
        <w:ind w:right="284"/>
        <w:rPr>
          <w:sz w:val="24"/>
        </w:rPr>
      </w:pPr>
      <w:r w:rsidRPr="00742D14">
        <w:rPr>
          <w:sz w:val="24"/>
        </w:rPr>
        <w:t>Formal selection of one or more credit courses approved and schedule by the university;</w:t>
      </w:r>
      <w:r w:rsidRPr="00742D14">
        <w:rPr>
          <w:spacing w:val="-2"/>
          <w:sz w:val="24"/>
        </w:rPr>
        <w:t xml:space="preserve"> </w:t>
      </w:r>
      <w:r w:rsidRPr="00742D14">
        <w:rPr>
          <w:sz w:val="24"/>
        </w:rPr>
        <w:t>and</w:t>
      </w:r>
    </w:p>
    <w:p w:rsidR="009B579E" w:rsidRPr="00742D14" w:rsidRDefault="00742D14">
      <w:pPr>
        <w:pStyle w:val="ListParagraph"/>
        <w:numPr>
          <w:ilvl w:val="3"/>
          <w:numId w:val="1"/>
        </w:numPr>
        <w:tabs>
          <w:tab w:val="left" w:pos="2280"/>
        </w:tabs>
        <w:ind w:left="2279" w:right="188"/>
        <w:rPr>
          <w:sz w:val="24"/>
        </w:rPr>
      </w:pPr>
      <w:r w:rsidRPr="00742D14">
        <w:rPr>
          <w:sz w:val="24"/>
        </w:rPr>
        <w:t xml:space="preserve">Fee payment or other appropriate arrangements for fee payment (installment payment, deferment or </w:t>
      </w:r>
      <w:proofErr w:type="gramStart"/>
      <w:r w:rsidRPr="00742D14">
        <w:rPr>
          <w:sz w:val="24"/>
        </w:rPr>
        <w:t>third party</w:t>
      </w:r>
      <w:proofErr w:type="gramEnd"/>
      <w:r w:rsidRPr="00742D14">
        <w:rPr>
          <w:sz w:val="24"/>
        </w:rPr>
        <w:t xml:space="preserve"> billing). Fee liability shall be incurred at the point that the student has completed registration as </w:t>
      </w:r>
      <w:r w:rsidRPr="00742D14">
        <w:rPr>
          <w:sz w:val="24"/>
        </w:rPr>
        <w:lastRenderedPageBreak/>
        <w:t>defined above, including fee payment or other</w:t>
      </w:r>
      <w:r w:rsidRPr="00742D14">
        <w:rPr>
          <w:sz w:val="24"/>
        </w:rPr>
        <w:t xml:space="preserve"> appropriate arrangements for payment. A student who has made a fee payment or made appropriate arrangements for fee payment shall be liable for all courses that remain on his/her class schedule at the end of the drop/add</w:t>
      </w:r>
      <w:r w:rsidRPr="00742D14">
        <w:rPr>
          <w:spacing w:val="-5"/>
          <w:sz w:val="24"/>
        </w:rPr>
        <w:t xml:space="preserve"> </w:t>
      </w:r>
      <w:r w:rsidRPr="00742D14">
        <w:rPr>
          <w:sz w:val="24"/>
        </w:rPr>
        <w:t>period.</w:t>
      </w:r>
    </w:p>
    <w:p w:rsidR="009B579E" w:rsidRPr="00742D14" w:rsidRDefault="009B579E">
      <w:pPr>
        <w:pStyle w:val="BodyText"/>
      </w:pPr>
    </w:p>
    <w:p w:rsidR="009B579E" w:rsidRPr="00742D14" w:rsidRDefault="00742D14" w:rsidP="00742D14">
      <w:pPr>
        <w:pStyle w:val="ListParagraph"/>
        <w:numPr>
          <w:ilvl w:val="2"/>
          <w:numId w:val="1"/>
        </w:numPr>
        <w:tabs>
          <w:tab w:val="left" w:pos="1920"/>
        </w:tabs>
        <w:ind w:right="307"/>
        <w:rPr>
          <w:sz w:val="26"/>
        </w:rPr>
      </w:pPr>
      <w:r w:rsidRPr="00742D14">
        <w:rPr>
          <w:sz w:val="24"/>
        </w:rPr>
        <w:t>The president will extend</w:t>
      </w:r>
      <w:r w:rsidRPr="00742D14">
        <w:rPr>
          <w:sz w:val="24"/>
        </w:rPr>
        <w:t xml:space="preserve"> the deadline for fee payment when payment by the student is delayed due to University action or</w:t>
      </w:r>
      <w:r w:rsidRPr="00742D14">
        <w:rPr>
          <w:spacing w:val="-5"/>
          <w:sz w:val="24"/>
        </w:rPr>
        <w:t xml:space="preserve"> </w:t>
      </w:r>
      <w:r w:rsidRPr="00742D14">
        <w:rPr>
          <w:sz w:val="24"/>
        </w:rPr>
        <w:t>inaction.</w:t>
      </w:r>
    </w:p>
    <w:p w:rsidR="009B579E" w:rsidRPr="00742D14" w:rsidRDefault="00742D14">
      <w:pPr>
        <w:pStyle w:val="ListParagraph"/>
        <w:numPr>
          <w:ilvl w:val="2"/>
          <w:numId w:val="1"/>
        </w:numPr>
        <w:tabs>
          <w:tab w:val="left" w:pos="1920"/>
        </w:tabs>
        <w:spacing w:before="72"/>
        <w:ind w:right="482"/>
        <w:rPr>
          <w:sz w:val="24"/>
        </w:rPr>
      </w:pPr>
      <w:r w:rsidRPr="00742D14">
        <w:rPr>
          <w:sz w:val="24"/>
        </w:rPr>
        <w:t>A student whose registration has been canceled under subsection (3)</w:t>
      </w:r>
      <w:r w:rsidRPr="00742D14">
        <w:rPr>
          <w:spacing w:val="-15"/>
          <w:sz w:val="24"/>
        </w:rPr>
        <w:t xml:space="preserve"> </w:t>
      </w:r>
      <w:r w:rsidRPr="00742D14">
        <w:rPr>
          <w:sz w:val="24"/>
        </w:rPr>
        <w:t>above may be reinstated. To be reinstated, a student</w:t>
      </w:r>
      <w:r w:rsidRPr="00742D14">
        <w:rPr>
          <w:spacing w:val="-7"/>
          <w:sz w:val="24"/>
        </w:rPr>
        <w:t xml:space="preserve"> </w:t>
      </w:r>
      <w:r w:rsidRPr="00742D14">
        <w:rPr>
          <w:sz w:val="24"/>
        </w:rPr>
        <w:t>must:</w:t>
      </w:r>
    </w:p>
    <w:p w:rsidR="009B579E" w:rsidRPr="00742D14" w:rsidRDefault="009B579E">
      <w:pPr>
        <w:pStyle w:val="BodyText"/>
      </w:pPr>
    </w:p>
    <w:p w:rsidR="009B579E" w:rsidRPr="00742D14" w:rsidRDefault="00742D14">
      <w:pPr>
        <w:pStyle w:val="ListParagraph"/>
        <w:numPr>
          <w:ilvl w:val="3"/>
          <w:numId w:val="1"/>
        </w:numPr>
        <w:tabs>
          <w:tab w:val="left" w:pos="2280"/>
        </w:tabs>
        <w:ind w:right="148"/>
        <w:rPr>
          <w:color w:val="C00000"/>
          <w:sz w:val="24"/>
        </w:rPr>
      </w:pPr>
      <w:r w:rsidRPr="00742D14">
        <w:rPr>
          <w:sz w:val="24"/>
        </w:rPr>
        <w:t>Appl</w:t>
      </w:r>
      <w:r w:rsidRPr="00742D14">
        <w:rPr>
          <w:sz w:val="24"/>
        </w:rPr>
        <w:t>y by the end of the fourth week of classes for reinstatement and must pay</w:t>
      </w:r>
      <w:r w:rsidRPr="00742D14">
        <w:rPr>
          <w:color w:val="FF0101"/>
          <w:sz w:val="24"/>
        </w:rPr>
        <w:t xml:space="preserve"> </w:t>
      </w:r>
      <w:r w:rsidRPr="00742D14">
        <w:rPr>
          <w:color w:val="C00000"/>
          <w:sz w:val="24"/>
        </w:rPr>
        <w:t>tuition and associated fees or make other appropriate arrangements</w:t>
      </w:r>
      <w:r w:rsidRPr="00742D14">
        <w:rPr>
          <w:color w:val="C00000"/>
          <w:spacing w:val="-17"/>
          <w:sz w:val="24"/>
        </w:rPr>
        <w:t xml:space="preserve"> </w:t>
      </w:r>
      <w:r w:rsidRPr="00742D14">
        <w:rPr>
          <w:color w:val="C00000"/>
          <w:sz w:val="24"/>
        </w:rPr>
        <w:t>for the payment</w:t>
      </w:r>
      <w:r w:rsidRPr="00742D14">
        <w:rPr>
          <w:color w:val="C00000"/>
          <w:sz w:val="24"/>
        </w:rPr>
        <w:t xml:space="preserve"> </w:t>
      </w:r>
      <w:r w:rsidRPr="00742D14">
        <w:rPr>
          <w:strike/>
          <w:color w:val="C00000"/>
          <w:sz w:val="24"/>
        </w:rPr>
        <w:t>at least fifty percent (50%)</w:t>
      </w:r>
      <w:r w:rsidRPr="00742D14">
        <w:rPr>
          <w:color w:val="C00000"/>
          <w:sz w:val="24"/>
        </w:rPr>
        <w:t xml:space="preserve"> </w:t>
      </w:r>
      <w:r w:rsidRPr="00742D14">
        <w:rPr>
          <w:sz w:val="24"/>
        </w:rPr>
        <w:t>of the total fees</w:t>
      </w:r>
      <w:r w:rsidRPr="00742D14">
        <w:rPr>
          <w:color w:val="FF0101"/>
          <w:sz w:val="24"/>
        </w:rPr>
        <w:t xml:space="preserve"> </w:t>
      </w:r>
      <w:proofErr w:type="spellStart"/>
      <w:r w:rsidRPr="00742D14">
        <w:rPr>
          <w:strike/>
          <w:color w:val="C00000"/>
          <w:sz w:val="24"/>
        </w:rPr>
        <w:t>or</w:t>
      </w:r>
      <w:r w:rsidRPr="00742D14">
        <w:rPr>
          <w:color w:val="C00000"/>
          <w:sz w:val="24"/>
        </w:rPr>
        <w:t>plus</w:t>
      </w:r>
      <w:proofErr w:type="spellEnd"/>
      <w:r w:rsidRPr="00742D14">
        <w:rPr>
          <w:color w:val="C00000"/>
          <w:sz w:val="24"/>
        </w:rPr>
        <w:t xml:space="preserve"> the late payment fee and re-registration fee</w:t>
      </w:r>
      <w:r w:rsidRPr="00742D14">
        <w:rPr>
          <w:color w:val="C00000"/>
          <w:spacing w:val="-1"/>
          <w:sz w:val="24"/>
        </w:rPr>
        <w:t xml:space="preserve"> </w:t>
      </w:r>
      <w:r w:rsidRPr="00742D14">
        <w:rPr>
          <w:color w:val="C00000"/>
          <w:sz w:val="24"/>
        </w:rPr>
        <w:t>or</w:t>
      </w:r>
    </w:p>
    <w:p w:rsidR="009B579E" w:rsidRPr="00742D14" w:rsidRDefault="00742D14">
      <w:pPr>
        <w:pStyle w:val="ListParagraph"/>
        <w:numPr>
          <w:ilvl w:val="3"/>
          <w:numId w:val="1"/>
        </w:numPr>
        <w:tabs>
          <w:tab w:val="left" w:pos="2280"/>
        </w:tabs>
        <w:ind w:right="205"/>
        <w:rPr>
          <w:sz w:val="24"/>
        </w:rPr>
      </w:pPr>
      <w:r w:rsidRPr="00742D14">
        <w:rPr>
          <w:sz w:val="24"/>
        </w:rPr>
        <w:t>Have become eligible for financial aid for</w:t>
      </w:r>
      <w:r w:rsidRPr="00742D14">
        <w:rPr>
          <w:color w:val="FF0101"/>
          <w:sz w:val="24"/>
        </w:rPr>
        <w:t xml:space="preserve"> </w:t>
      </w:r>
      <w:r w:rsidRPr="00742D14">
        <w:rPr>
          <w:strike/>
          <w:color w:val="C00000"/>
          <w:sz w:val="24"/>
        </w:rPr>
        <w:t>at least fifty percent (50%) of</w:t>
      </w:r>
      <w:r w:rsidRPr="00742D14">
        <w:rPr>
          <w:color w:val="C00000"/>
          <w:sz w:val="24"/>
        </w:rPr>
        <w:t xml:space="preserve"> </w:t>
      </w:r>
      <w:r w:rsidRPr="00742D14">
        <w:rPr>
          <w:color w:val="C00000"/>
          <w:sz w:val="24"/>
        </w:rPr>
        <w:t>a portion of the</w:t>
      </w:r>
      <w:r w:rsidRPr="00742D14">
        <w:rPr>
          <w:color w:val="C00000"/>
          <w:sz w:val="24"/>
        </w:rPr>
        <w:t xml:space="preserve"> </w:t>
      </w:r>
      <w:r w:rsidRPr="00742D14">
        <w:rPr>
          <w:sz w:val="24"/>
        </w:rPr>
        <w:t>total fees</w:t>
      </w:r>
      <w:r w:rsidRPr="00742D14">
        <w:rPr>
          <w:color w:val="C00000"/>
          <w:sz w:val="24"/>
        </w:rPr>
        <w:t xml:space="preserve">, </w:t>
      </w:r>
      <w:r w:rsidRPr="00742D14">
        <w:rPr>
          <w:strike/>
          <w:color w:val="C00000"/>
          <w:sz w:val="24"/>
        </w:rPr>
        <w:t>and</w:t>
      </w:r>
      <w:r w:rsidRPr="00742D14">
        <w:rPr>
          <w:color w:val="C00000"/>
          <w:sz w:val="24"/>
        </w:rPr>
        <w:t xml:space="preserve"> </w:t>
      </w:r>
      <w:r w:rsidRPr="00742D14">
        <w:rPr>
          <w:sz w:val="24"/>
        </w:rPr>
        <w:t>the late payment fee</w:t>
      </w:r>
      <w:r w:rsidRPr="00742D14">
        <w:rPr>
          <w:color w:val="FF0101"/>
          <w:sz w:val="24"/>
        </w:rPr>
        <w:t xml:space="preserve"> </w:t>
      </w:r>
      <w:r w:rsidRPr="00742D14">
        <w:rPr>
          <w:color w:val="C00000"/>
          <w:sz w:val="24"/>
        </w:rPr>
        <w:t>and the re-registration fee</w:t>
      </w:r>
      <w:r w:rsidRPr="00742D14">
        <w:rPr>
          <w:color w:val="C00000"/>
          <w:sz w:val="24"/>
        </w:rPr>
        <w:t xml:space="preserve">, </w:t>
      </w:r>
      <w:r w:rsidRPr="00742D14">
        <w:rPr>
          <w:sz w:val="24"/>
        </w:rPr>
        <w:t>with the balance being due no later than th</w:t>
      </w:r>
      <w:r w:rsidRPr="00742D14">
        <w:rPr>
          <w:sz w:val="24"/>
        </w:rPr>
        <w:t>e end of the first half of the academic</w:t>
      </w:r>
      <w:r w:rsidRPr="00742D14">
        <w:rPr>
          <w:spacing w:val="-2"/>
          <w:sz w:val="24"/>
        </w:rPr>
        <w:t xml:space="preserve"> </w:t>
      </w:r>
      <w:r w:rsidRPr="00742D14">
        <w:rPr>
          <w:sz w:val="24"/>
        </w:rPr>
        <w:t>term.</w:t>
      </w:r>
    </w:p>
    <w:p w:rsidR="009B579E" w:rsidRPr="00742D14" w:rsidRDefault="009B579E">
      <w:pPr>
        <w:pStyle w:val="BodyText"/>
      </w:pPr>
    </w:p>
    <w:p w:rsidR="009B579E" w:rsidRPr="00742D14" w:rsidRDefault="00742D14">
      <w:pPr>
        <w:pStyle w:val="ListParagraph"/>
        <w:numPr>
          <w:ilvl w:val="2"/>
          <w:numId w:val="1"/>
        </w:numPr>
        <w:tabs>
          <w:tab w:val="left" w:pos="1920"/>
        </w:tabs>
        <w:ind w:right="839"/>
        <w:rPr>
          <w:sz w:val="24"/>
        </w:rPr>
      </w:pPr>
      <w:r w:rsidRPr="00742D14">
        <w:rPr>
          <w:sz w:val="24"/>
        </w:rPr>
        <w:t>All or any part of the tuition and registration fees will be waived by the University as prescribed by the Florida</w:t>
      </w:r>
      <w:r w:rsidRPr="00742D14">
        <w:rPr>
          <w:spacing w:val="-8"/>
          <w:sz w:val="24"/>
        </w:rPr>
        <w:t xml:space="preserve"> </w:t>
      </w:r>
      <w:r w:rsidRPr="00742D14">
        <w:rPr>
          <w:sz w:val="24"/>
        </w:rPr>
        <w:t>Statutes.</w:t>
      </w:r>
    </w:p>
    <w:p w:rsidR="009B579E" w:rsidRPr="00742D14" w:rsidRDefault="009B579E">
      <w:pPr>
        <w:pStyle w:val="BodyText"/>
      </w:pPr>
    </w:p>
    <w:p w:rsidR="009B579E" w:rsidRPr="00742D14" w:rsidRDefault="00742D14">
      <w:pPr>
        <w:pStyle w:val="ListParagraph"/>
        <w:numPr>
          <w:ilvl w:val="1"/>
          <w:numId w:val="1"/>
        </w:numPr>
        <w:tabs>
          <w:tab w:val="left" w:pos="1560"/>
        </w:tabs>
        <w:ind w:right="297" w:hanging="360"/>
        <w:rPr>
          <w:sz w:val="24"/>
        </w:rPr>
      </w:pPr>
      <w:r w:rsidRPr="00742D14">
        <w:rPr>
          <w:sz w:val="24"/>
        </w:rPr>
        <w:t>A student may pay fees, including charges for housing, in installments. Said stude</w:t>
      </w:r>
      <w:r w:rsidRPr="00742D14">
        <w:rPr>
          <w:sz w:val="24"/>
        </w:rPr>
        <w:t>nt is required to</w:t>
      </w:r>
      <w:r w:rsidRPr="00742D14">
        <w:rPr>
          <w:color w:val="FF0101"/>
          <w:sz w:val="24"/>
        </w:rPr>
        <w:t xml:space="preserve"> </w:t>
      </w:r>
      <w:r w:rsidRPr="00742D14">
        <w:rPr>
          <w:strike/>
          <w:color w:val="C00000"/>
          <w:sz w:val="24"/>
        </w:rPr>
        <w:t>pay at least fifty percent (50%)</w:t>
      </w:r>
      <w:r w:rsidRPr="00742D14">
        <w:rPr>
          <w:color w:val="C00000"/>
          <w:sz w:val="24"/>
        </w:rPr>
        <w:t xml:space="preserve"> </w:t>
      </w:r>
      <w:r w:rsidRPr="00742D14">
        <w:rPr>
          <w:color w:val="C00000"/>
          <w:sz w:val="24"/>
        </w:rPr>
        <w:t>make appropriate arrangements for the payment</w:t>
      </w:r>
      <w:r w:rsidRPr="00742D14">
        <w:rPr>
          <w:color w:val="C00000"/>
          <w:sz w:val="24"/>
        </w:rPr>
        <w:t xml:space="preserve"> </w:t>
      </w:r>
      <w:r w:rsidRPr="00742D14">
        <w:rPr>
          <w:sz w:val="24"/>
        </w:rPr>
        <w:t xml:space="preserve">of his/her obligation by </w:t>
      </w:r>
      <w:r w:rsidRPr="00742D14">
        <w:rPr>
          <w:color w:val="C00000"/>
          <w:sz w:val="24"/>
        </w:rPr>
        <w:t>the</w:t>
      </w:r>
      <w:r w:rsidRPr="00742D14">
        <w:rPr>
          <w:strike/>
          <w:color w:val="C00000"/>
          <w:sz w:val="24"/>
        </w:rPr>
        <w:t xml:space="preserve"> end of the drop/add period</w:t>
      </w:r>
      <w:r w:rsidRPr="00742D14">
        <w:rPr>
          <w:color w:val="C00000"/>
          <w:sz w:val="24"/>
        </w:rPr>
        <w:t xml:space="preserve"> tuition payment deadline</w:t>
      </w:r>
      <w:r w:rsidRPr="00742D14">
        <w:rPr>
          <w:color w:val="C00000"/>
          <w:sz w:val="24"/>
        </w:rPr>
        <w:t>.</w:t>
      </w:r>
      <w:r w:rsidRPr="00742D14">
        <w:rPr>
          <w:color w:val="C00000"/>
          <w:sz w:val="24"/>
        </w:rPr>
        <w:t xml:space="preserve"> </w:t>
      </w:r>
      <w:r w:rsidRPr="00742D14">
        <w:rPr>
          <w:color w:val="C00000"/>
          <w:sz w:val="24"/>
        </w:rPr>
        <w:t xml:space="preserve">The student must </w:t>
      </w:r>
      <w:proofErr w:type="gramStart"/>
      <w:r w:rsidRPr="00742D14">
        <w:rPr>
          <w:color w:val="C00000"/>
          <w:sz w:val="24"/>
        </w:rPr>
        <w:t>make arrangements</w:t>
      </w:r>
      <w:proofErr w:type="gramEnd"/>
      <w:r w:rsidRPr="00742D14">
        <w:rPr>
          <w:color w:val="C00000"/>
          <w:sz w:val="24"/>
        </w:rPr>
        <w:t xml:space="preserve"> with the Residence Life Office for payment</w:t>
      </w:r>
      <w:r w:rsidRPr="00742D14">
        <w:rPr>
          <w:color w:val="C00000"/>
          <w:sz w:val="24"/>
        </w:rPr>
        <w:t xml:space="preserve"> arrangements for Housing.</w:t>
      </w:r>
      <w:r w:rsidRPr="00742D14">
        <w:rPr>
          <w:color w:val="FF0101"/>
          <w:sz w:val="24"/>
        </w:rPr>
        <w:t xml:space="preserve"> </w:t>
      </w:r>
      <w:r w:rsidRPr="00742D14">
        <w:rPr>
          <w:sz w:val="24"/>
        </w:rPr>
        <w:t>The remaining amount is required to be paid not later than the end of the first half of the academic term; otherwise the student’s</w:t>
      </w:r>
      <w:r w:rsidRPr="00742D14">
        <w:rPr>
          <w:color w:val="FF0101"/>
          <w:sz w:val="24"/>
        </w:rPr>
        <w:t xml:space="preserve"> </w:t>
      </w:r>
      <w:r w:rsidRPr="00742D14">
        <w:rPr>
          <w:strike/>
          <w:color w:val="C00000"/>
          <w:sz w:val="24"/>
        </w:rPr>
        <w:t>registration will be canceled or his/her academic progress preludes a student from</w:t>
      </w:r>
      <w:r w:rsidRPr="00742D14">
        <w:rPr>
          <w:color w:val="C00000"/>
          <w:sz w:val="24"/>
        </w:rPr>
        <w:t xml:space="preserve"> </w:t>
      </w:r>
      <w:r w:rsidRPr="00742D14">
        <w:rPr>
          <w:color w:val="C00000"/>
          <w:sz w:val="24"/>
        </w:rPr>
        <w:t>record is on hold and the student is precluded from</w:t>
      </w:r>
      <w:r w:rsidRPr="00742D14">
        <w:rPr>
          <w:color w:val="C00000"/>
          <w:sz w:val="24"/>
        </w:rPr>
        <w:t xml:space="preserve"> </w:t>
      </w:r>
      <w:r w:rsidRPr="00742D14">
        <w:rPr>
          <w:sz w:val="24"/>
        </w:rPr>
        <w:t>receiving grades, a transcript or a diploma and shall</w:t>
      </w:r>
      <w:r w:rsidRPr="00742D14">
        <w:rPr>
          <w:color w:val="FF0101"/>
          <w:sz w:val="24"/>
        </w:rPr>
        <w:t xml:space="preserve"> </w:t>
      </w:r>
      <w:proofErr w:type="spellStart"/>
      <w:r w:rsidRPr="00742D14">
        <w:rPr>
          <w:strike/>
          <w:color w:val="C00000"/>
          <w:sz w:val="24"/>
        </w:rPr>
        <w:t>deny</w:t>
      </w:r>
      <w:r w:rsidRPr="00742D14">
        <w:rPr>
          <w:color w:val="C00000"/>
          <w:sz w:val="24"/>
        </w:rPr>
        <w:t>be</w:t>
      </w:r>
      <w:proofErr w:type="spellEnd"/>
      <w:r w:rsidRPr="00742D14">
        <w:rPr>
          <w:color w:val="C00000"/>
          <w:sz w:val="24"/>
        </w:rPr>
        <w:t xml:space="preserve"> denied</w:t>
      </w:r>
      <w:r w:rsidRPr="00742D14">
        <w:rPr>
          <w:color w:val="C00000"/>
          <w:sz w:val="24"/>
        </w:rPr>
        <w:t xml:space="preserve"> </w:t>
      </w:r>
      <w:r w:rsidRPr="00742D14">
        <w:rPr>
          <w:sz w:val="24"/>
        </w:rPr>
        <w:t>registration for further terms until his/her account has been settled in</w:t>
      </w:r>
      <w:r w:rsidRPr="00742D14">
        <w:rPr>
          <w:spacing w:val="-18"/>
          <w:sz w:val="24"/>
        </w:rPr>
        <w:t xml:space="preserve"> </w:t>
      </w:r>
      <w:r w:rsidRPr="00742D14">
        <w:rPr>
          <w:sz w:val="24"/>
        </w:rPr>
        <w:t>full.</w:t>
      </w:r>
    </w:p>
    <w:p w:rsidR="009B579E" w:rsidRPr="00742D14" w:rsidRDefault="009B579E">
      <w:pPr>
        <w:pStyle w:val="BodyText"/>
        <w:spacing w:before="2"/>
        <w:rPr>
          <w:sz w:val="16"/>
        </w:rPr>
      </w:pPr>
    </w:p>
    <w:p w:rsidR="009B579E" w:rsidRPr="00742D14" w:rsidRDefault="00742D14">
      <w:pPr>
        <w:pStyle w:val="BodyText"/>
        <w:spacing w:before="90"/>
        <w:ind w:left="1560" w:right="268"/>
      </w:pPr>
      <w:r w:rsidRPr="00742D14">
        <w:t>A student enrolled through continuing education will not be eligible for payment by installments.</w:t>
      </w:r>
    </w:p>
    <w:p w:rsidR="009B579E" w:rsidRPr="00742D14" w:rsidRDefault="009B579E">
      <w:pPr>
        <w:pStyle w:val="BodyText"/>
      </w:pPr>
    </w:p>
    <w:p w:rsidR="009B579E" w:rsidRPr="00742D14" w:rsidRDefault="00742D14">
      <w:pPr>
        <w:pStyle w:val="ListParagraph"/>
        <w:numPr>
          <w:ilvl w:val="1"/>
          <w:numId w:val="1"/>
        </w:numPr>
        <w:tabs>
          <w:tab w:val="left" w:pos="1560"/>
        </w:tabs>
        <w:ind w:right="117" w:hanging="360"/>
        <w:rPr>
          <w:sz w:val="24"/>
        </w:rPr>
      </w:pPr>
      <w:r w:rsidRPr="00742D14">
        <w:rPr>
          <w:sz w:val="24"/>
        </w:rPr>
        <w:t>If a student’s fee account is in arrears, the student’s academic progress will be suspended until his/her account has been settled in full or other arrangeme</w:t>
      </w:r>
      <w:r w:rsidRPr="00742D14">
        <w:rPr>
          <w:sz w:val="24"/>
        </w:rPr>
        <w:t>nts have been</w:t>
      </w:r>
      <w:r w:rsidRPr="00742D14">
        <w:rPr>
          <w:spacing w:val="-1"/>
          <w:sz w:val="24"/>
        </w:rPr>
        <w:t xml:space="preserve"> </w:t>
      </w:r>
      <w:r w:rsidRPr="00742D14">
        <w:rPr>
          <w:sz w:val="24"/>
        </w:rPr>
        <w:t>made.</w:t>
      </w:r>
    </w:p>
    <w:p w:rsidR="009B579E" w:rsidRPr="00742D14" w:rsidRDefault="009B579E">
      <w:pPr>
        <w:pStyle w:val="BodyText"/>
        <w:rPr>
          <w:sz w:val="26"/>
        </w:rPr>
      </w:pPr>
    </w:p>
    <w:p w:rsidR="009B579E" w:rsidRPr="00742D14" w:rsidRDefault="009B579E">
      <w:pPr>
        <w:pStyle w:val="BodyText"/>
        <w:spacing w:before="2"/>
        <w:rPr>
          <w:sz w:val="22"/>
        </w:rPr>
      </w:pPr>
    </w:p>
    <w:p w:rsidR="009B579E" w:rsidRPr="00742D14" w:rsidRDefault="00742D14">
      <w:pPr>
        <w:ind w:left="120" w:right="199"/>
        <w:rPr>
          <w:i/>
          <w:sz w:val="20"/>
        </w:rPr>
      </w:pPr>
      <w:r w:rsidRPr="00742D14">
        <w:rPr>
          <w:i/>
          <w:sz w:val="20"/>
        </w:rPr>
        <w:t>Authority: Resolution of the Florida Board of Governors dated January 7, 2003, F.S.1001.7 (10)(11), F.S. 1009.24, F.S. 1009.27, F.S. 1010.03(4).</w:t>
      </w:r>
    </w:p>
    <w:p w:rsidR="009B579E" w:rsidRPr="00742D14" w:rsidRDefault="00742D14">
      <w:pPr>
        <w:tabs>
          <w:tab w:val="left" w:pos="5284"/>
        </w:tabs>
        <w:ind w:left="120" w:right="4262"/>
        <w:rPr>
          <w:i/>
          <w:sz w:val="20"/>
        </w:rPr>
      </w:pPr>
      <w:r w:rsidRPr="00742D14">
        <w:rPr>
          <w:i/>
          <w:sz w:val="20"/>
        </w:rPr>
        <w:t>History – New 5-2-04, Amended</w:t>
      </w:r>
      <w:r w:rsidRPr="00742D14">
        <w:rPr>
          <w:i/>
          <w:spacing w:val="-8"/>
          <w:sz w:val="20"/>
        </w:rPr>
        <w:t xml:space="preserve"> </w:t>
      </w:r>
      <w:r w:rsidRPr="00742D14">
        <w:rPr>
          <w:i/>
          <w:sz w:val="20"/>
        </w:rPr>
        <w:t>10-20-05.</w:t>
      </w:r>
      <w:r w:rsidRPr="00742D14">
        <w:rPr>
          <w:i/>
          <w:spacing w:val="-1"/>
          <w:sz w:val="20"/>
        </w:rPr>
        <w:t xml:space="preserve"> </w:t>
      </w:r>
      <w:r w:rsidRPr="00742D14">
        <w:rPr>
          <w:i/>
          <w:color w:val="C00000"/>
          <w:sz w:val="20"/>
        </w:rPr>
        <w:t>Amended</w:t>
      </w:r>
      <w:r w:rsidRPr="00742D14">
        <w:rPr>
          <w:i/>
          <w:color w:val="C00000"/>
          <w:sz w:val="20"/>
        </w:rPr>
        <w:t xml:space="preserve"> </w:t>
      </w:r>
      <w:r w:rsidRPr="00742D14">
        <w:rPr>
          <w:i/>
          <w:color w:val="FF0101"/>
          <w:sz w:val="20"/>
        </w:rPr>
        <w:tab/>
      </w:r>
      <w:r w:rsidRPr="00742D14">
        <w:rPr>
          <w:i/>
          <w:color w:val="C00000"/>
          <w:spacing w:val="-16"/>
          <w:sz w:val="20"/>
        </w:rPr>
        <w:t xml:space="preserve">. </w:t>
      </w:r>
      <w:r w:rsidRPr="00742D14">
        <w:rPr>
          <w:i/>
          <w:sz w:val="20"/>
        </w:rPr>
        <w:t>Formerly</w:t>
      </w:r>
      <w:r w:rsidRPr="00742D14">
        <w:rPr>
          <w:i/>
          <w:spacing w:val="-1"/>
          <w:sz w:val="20"/>
        </w:rPr>
        <w:t xml:space="preserve"> </w:t>
      </w:r>
      <w:r w:rsidRPr="00742D14">
        <w:rPr>
          <w:i/>
          <w:sz w:val="20"/>
        </w:rPr>
        <w:t>8.1003.</w:t>
      </w:r>
    </w:p>
    <w:sectPr w:rsidR="009B579E" w:rsidRPr="00742D14" w:rsidSect="00742D14">
      <w:pgSz w:w="12240" w:h="15840"/>
      <w:pgMar w:top="1360" w:right="1320" w:bottom="280" w:left="1320" w:header="720" w:footer="720" w:gutter="0"/>
      <w:pgNumType w:fmt="numberInDash"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14" w:rsidRDefault="00742D14" w:rsidP="00742D14">
      <w:r>
        <w:separator/>
      </w:r>
    </w:p>
  </w:endnote>
  <w:endnote w:type="continuationSeparator" w:id="0">
    <w:p w:rsidR="00742D14" w:rsidRDefault="00742D14" w:rsidP="0074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14" w:rsidRDefault="00742D14">
    <w:pPr>
      <w:pStyle w:val="Footer"/>
      <w:jc w:val="center"/>
    </w:pPr>
  </w:p>
  <w:p w:rsidR="00742D14" w:rsidRDefault="00742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14" w:rsidRDefault="00742D14" w:rsidP="00742D14">
      <w:r>
        <w:separator/>
      </w:r>
    </w:p>
  </w:footnote>
  <w:footnote w:type="continuationSeparator" w:id="0">
    <w:p w:rsidR="00742D14" w:rsidRDefault="00742D14" w:rsidP="0074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B4CC0"/>
    <w:multiLevelType w:val="hybridMultilevel"/>
    <w:tmpl w:val="32040D08"/>
    <w:lvl w:ilvl="0" w:tplc="600660E2">
      <w:start w:val="1"/>
      <w:numFmt w:val="upperRoman"/>
      <w:pStyle w:val="Heading2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E40075B2">
      <w:start w:val="1"/>
      <w:numFmt w:val="decimal"/>
      <w:lvlText w:val="(%2)"/>
      <w:lvlJc w:val="left"/>
      <w:pPr>
        <w:ind w:left="1560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CDAE14A2">
      <w:start w:val="1"/>
      <w:numFmt w:val="lowerLetter"/>
      <w:lvlText w:val="(%3)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3" w:tplc="CFB83C9E">
      <w:start w:val="1"/>
      <w:numFmt w:val="decimal"/>
      <w:lvlText w:val="%4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4" w:tplc="D7EAB1D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en-US"/>
      </w:rPr>
    </w:lvl>
    <w:lvl w:ilvl="5" w:tplc="544AEF96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en-US"/>
      </w:rPr>
    </w:lvl>
    <w:lvl w:ilvl="6" w:tplc="EFB208CC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7" w:tplc="F51A8AA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en-US"/>
      </w:rPr>
    </w:lvl>
    <w:lvl w:ilvl="8" w:tplc="3CF600B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8AC6B3B"/>
    <w:multiLevelType w:val="hybridMultilevel"/>
    <w:tmpl w:val="132493EE"/>
    <w:lvl w:ilvl="0" w:tplc="B0E4B346">
      <w:numFmt w:val="bullet"/>
      <w:lvlText w:val=""/>
      <w:lvlJc w:val="left"/>
      <w:pPr>
        <w:ind w:left="329" w:hanging="198"/>
      </w:pPr>
      <w:rPr>
        <w:rFonts w:ascii="Wingdings 2" w:eastAsia="Wingdings 2" w:hAnsi="Wingdings 2" w:cs="Wingdings 2" w:hint="default"/>
        <w:color w:val="FF0101"/>
        <w:w w:val="100"/>
        <w:sz w:val="20"/>
        <w:szCs w:val="20"/>
        <w:u w:val="single" w:color="FF0101"/>
        <w:lang w:val="en-US" w:eastAsia="en-US" w:bidi="en-US"/>
      </w:rPr>
    </w:lvl>
    <w:lvl w:ilvl="1" w:tplc="399EF2A0">
      <w:numFmt w:val="bullet"/>
      <w:lvlText w:val="•"/>
      <w:lvlJc w:val="left"/>
      <w:pPr>
        <w:ind w:left="553" w:hanging="198"/>
      </w:pPr>
      <w:rPr>
        <w:rFonts w:hint="default"/>
        <w:lang w:val="en-US" w:eastAsia="en-US" w:bidi="en-US"/>
      </w:rPr>
    </w:lvl>
    <w:lvl w:ilvl="2" w:tplc="9C38C1B0">
      <w:numFmt w:val="bullet"/>
      <w:lvlText w:val="•"/>
      <w:lvlJc w:val="left"/>
      <w:pPr>
        <w:ind w:left="787" w:hanging="198"/>
      </w:pPr>
      <w:rPr>
        <w:rFonts w:hint="default"/>
        <w:lang w:val="en-US" w:eastAsia="en-US" w:bidi="en-US"/>
      </w:rPr>
    </w:lvl>
    <w:lvl w:ilvl="3" w:tplc="3014DCE6">
      <w:numFmt w:val="bullet"/>
      <w:lvlText w:val="•"/>
      <w:lvlJc w:val="left"/>
      <w:pPr>
        <w:ind w:left="1021" w:hanging="198"/>
      </w:pPr>
      <w:rPr>
        <w:rFonts w:hint="default"/>
        <w:lang w:val="en-US" w:eastAsia="en-US" w:bidi="en-US"/>
      </w:rPr>
    </w:lvl>
    <w:lvl w:ilvl="4" w:tplc="E144B3D0">
      <w:numFmt w:val="bullet"/>
      <w:lvlText w:val="•"/>
      <w:lvlJc w:val="left"/>
      <w:pPr>
        <w:ind w:left="1255" w:hanging="198"/>
      </w:pPr>
      <w:rPr>
        <w:rFonts w:hint="default"/>
        <w:lang w:val="en-US" w:eastAsia="en-US" w:bidi="en-US"/>
      </w:rPr>
    </w:lvl>
    <w:lvl w:ilvl="5" w:tplc="A4222F72">
      <w:numFmt w:val="bullet"/>
      <w:lvlText w:val="•"/>
      <w:lvlJc w:val="left"/>
      <w:pPr>
        <w:ind w:left="1489" w:hanging="198"/>
      </w:pPr>
      <w:rPr>
        <w:rFonts w:hint="default"/>
        <w:lang w:val="en-US" w:eastAsia="en-US" w:bidi="en-US"/>
      </w:rPr>
    </w:lvl>
    <w:lvl w:ilvl="6" w:tplc="B33EDFB0">
      <w:numFmt w:val="bullet"/>
      <w:lvlText w:val="•"/>
      <w:lvlJc w:val="left"/>
      <w:pPr>
        <w:ind w:left="1723" w:hanging="198"/>
      </w:pPr>
      <w:rPr>
        <w:rFonts w:hint="default"/>
        <w:lang w:val="en-US" w:eastAsia="en-US" w:bidi="en-US"/>
      </w:rPr>
    </w:lvl>
    <w:lvl w:ilvl="7" w:tplc="093EEF64">
      <w:numFmt w:val="bullet"/>
      <w:lvlText w:val="•"/>
      <w:lvlJc w:val="left"/>
      <w:pPr>
        <w:ind w:left="1957" w:hanging="198"/>
      </w:pPr>
      <w:rPr>
        <w:rFonts w:hint="default"/>
        <w:lang w:val="en-US" w:eastAsia="en-US" w:bidi="en-US"/>
      </w:rPr>
    </w:lvl>
    <w:lvl w:ilvl="8" w:tplc="99664334">
      <w:numFmt w:val="bullet"/>
      <w:lvlText w:val="•"/>
      <w:lvlJc w:val="left"/>
      <w:pPr>
        <w:ind w:left="2191" w:hanging="19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E"/>
    <w:rsid w:val="00742D14"/>
    <w:rsid w:val="009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9EB688D"/>
  <w15:docId w15:val="{FF142DCF-257F-4A69-BC42-463CDC1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D14"/>
    <w:pPr>
      <w:spacing w:before="94"/>
      <w:ind w:left="2837" w:right="2835"/>
      <w:jc w:val="center"/>
      <w:outlineLvl w:val="0"/>
    </w:pPr>
    <w:rPr>
      <w:rFonts w:ascii="Arial"/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42D14"/>
    <w:pPr>
      <w:numPr>
        <w:numId w:val="1"/>
      </w:numPr>
      <w:tabs>
        <w:tab w:val="left" w:pos="1199"/>
        <w:tab w:val="left" w:pos="1200"/>
      </w:tabs>
      <w:spacing w:before="9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14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42D14"/>
    <w:rPr>
      <w:rFonts w:ascii="Arial" w:eastAsia="Times New Roman" w:hAnsi="Times New Roman" w:cs="Times New Roman"/>
      <w:b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42D14"/>
    <w:rPr>
      <w:rFonts w:ascii="Times New Roman" w:eastAsia="Times New Roman" w:hAnsi="Times New Roman" w:cs="Times New Roman"/>
      <w:b/>
      <w:sz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42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D1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2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1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howell@unf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290C4B0B38431EACCDF921153E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201D-15C1-4A4C-B9EC-5625327B34F7}"/>
      </w:docPartPr>
      <w:docPartBody>
        <w:p w:rsidR="00000000" w:rsidRDefault="0049318B" w:rsidP="0049318B">
          <w:pPr>
            <w:pStyle w:val="1D290C4B0B38431EACCDF921153ECC69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8B"/>
    <w:rsid w:val="004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18B"/>
    <w:rPr>
      <w:color w:val="808080"/>
    </w:rPr>
  </w:style>
  <w:style w:type="paragraph" w:customStyle="1" w:styleId="1D290C4B0B38431EACCDF921153ECC69">
    <w:name w:val="1D290C4B0B38431EACCDF921153ECC69"/>
    <w:rsid w:val="00493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2013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3B4CD718-621E-4E4A-87E3-5B3F5307EAFB}"/>
</file>

<file path=customXml/itemProps2.xml><?xml version="1.0" encoding="utf-8"?>
<ds:datastoreItem xmlns:ds="http://schemas.openxmlformats.org/officeDocument/2006/customXml" ds:itemID="{112232D8-33D6-489F-BFE8-5BF7DB6A3843}"/>
</file>

<file path=customXml/itemProps3.xml><?xml version="1.0" encoding="utf-8"?>
<ds:datastoreItem xmlns:ds="http://schemas.openxmlformats.org/officeDocument/2006/customXml" ds:itemID="{6D659F5F-D217-490C-A3D5-1A1F49DA8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Florida- Policies &amp; Procedures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Florida- Policies &amp; Procedures</dc:title>
  <dc:subject>Policies &amp; Procedures Template</dc:subject>
  <dc:creator>Cle Cooks</dc:creator>
  <cp:lastModifiedBy>Rossomano, Nicole</cp:lastModifiedBy>
  <cp:revision>2</cp:revision>
  <dcterms:created xsi:type="dcterms:W3CDTF">2020-01-15T16:06:00Z</dcterms:created>
  <dcterms:modified xsi:type="dcterms:W3CDTF">2020-01-15T16:06:00Z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