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7D" w:rsidRPr="00BF747D" w:rsidRDefault="00BF747D" w:rsidP="00BF747D">
      <w:pPr>
        <w:widowControl/>
        <w:autoSpaceDE/>
        <w:autoSpaceDN/>
        <w:spacing w:after="330" w:line="259" w:lineRule="auto"/>
        <w:rPr>
          <w:color w:val="000000"/>
          <w:sz w:val="24"/>
          <w:lang w:bidi="ar-SA"/>
        </w:rPr>
      </w:pPr>
      <w:bookmarkStart w:id="0" w:name="_GoBack"/>
      <w:bookmarkEnd w:id="0"/>
      <w:r w:rsidRPr="00BF747D">
        <w:rPr>
          <w:noProof/>
          <w:color w:val="000000"/>
          <w:sz w:val="24"/>
          <w:lang w:bidi="ar-SA"/>
        </w:rPr>
        <w:drawing>
          <wp:inline distT="0" distB="0" distL="0" distR="0" wp14:anchorId="25262CBD" wp14:editId="448F0F9F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47D" w:rsidRPr="00BF747D" w:rsidRDefault="00BF747D" w:rsidP="00BF747D">
      <w:pPr>
        <w:rPr>
          <w:sz w:val="24"/>
          <w:szCs w:val="24"/>
          <w:lang w:bidi="ar-SA"/>
        </w:rPr>
      </w:pPr>
      <w:r w:rsidRPr="00BF747D">
        <w:rPr>
          <w:b/>
          <w:sz w:val="24"/>
          <w:szCs w:val="24"/>
          <w:lang w:bidi="ar-SA"/>
        </w:rPr>
        <w:t>Regulation Number</w:t>
      </w:r>
      <w:r w:rsidRPr="00BF747D">
        <w:rPr>
          <w:sz w:val="24"/>
          <w:szCs w:val="24"/>
          <w:lang w:bidi="ar-SA"/>
        </w:rPr>
        <w:t xml:space="preserve">: </w:t>
      </w:r>
      <w:r w:rsidRPr="00BF747D">
        <w:rPr>
          <w:sz w:val="24"/>
          <w:szCs w:val="24"/>
          <w:lang w:bidi="ar-SA"/>
        </w:rPr>
        <w:tab/>
      </w:r>
    </w:p>
    <w:p w:rsidR="00BF747D" w:rsidRPr="00BF747D" w:rsidRDefault="00BF747D" w:rsidP="00BF747D">
      <w:pPr>
        <w:rPr>
          <w:sz w:val="24"/>
          <w:szCs w:val="24"/>
          <w:lang w:bidi="ar-SA"/>
        </w:rPr>
      </w:pPr>
    </w:p>
    <w:p w:rsidR="00BF747D" w:rsidRPr="00BF747D" w:rsidRDefault="00BF747D" w:rsidP="00BF747D">
      <w:pPr>
        <w:rPr>
          <w:sz w:val="24"/>
          <w:szCs w:val="24"/>
          <w:lang w:bidi="ar-SA"/>
        </w:rPr>
      </w:pPr>
      <w:r w:rsidRPr="00BF747D">
        <w:rPr>
          <w:b/>
          <w:sz w:val="24"/>
          <w:szCs w:val="24"/>
          <w:lang w:bidi="ar-SA"/>
        </w:rPr>
        <w:t>Effective Date</w:t>
      </w:r>
      <w:r w:rsidRPr="00BF747D">
        <w:rPr>
          <w:sz w:val="24"/>
          <w:szCs w:val="24"/>
          <w:lang w:bidi="ar-SA"/>
        </w:rPr>
        <w:t xml:space="preserve">:  </w:t>
      </w:r>
      <w:r w:rsidRPr="00BF747D">
        <w:rPr>
          <w:sz w:val="24"/>
          <w:szCs w:val="24"/>
          <w:lang w:bidi="ar-SA"/>
        </w:rPr>
        <w:tab/>
      </w:r>
      <w:r w:rsidRPr="00BF747D">
        <w:rPr>
          <w:sz w:val="24"/>
          <w:szCs w:val="24"/>
          <w:lang w:bidi="ar-SA"/>
        </w:rPr>
        <w:tab/>
      </w:r>
      <w:r w:rsidRPr="00BF747D">
        <w:rPr>
          <w:b/>
          <w:sz w:val="24"/>
          <w:szCs w:val="24"/>
          <w:lang w:bidi="ar-SA"/>
        </w:rPr>
        <w:t>Revised Date</w:t>
      </w:r>
      <w:r w:rsidRPr="00BF747D">
        <w:rPr>
          <w:sz w:val="24"/>
          <w:szCs w:val="24"/>
          <w:lang w:bidi="ar-SA"/>
        </w:rPr>
        <w:t xml:space="preserve">: </w:t>
      </w:r>
    </w:p>
    <w:p w:rsidR="00BF747D" w:rsidRPr="00BF747D" w:rsidRDefault="00BF747D" w:rsidP="00BF747D">
      <w:pPr>
        <w:rPr>
          <w:sz w:val="24"/>
          <w:szCs w:val="24"/>
          <w:lang w:bidi="ar-SA"/>
        </w:rPr>
      </w:pPr>
    </w:p>
    <w:p w:rsidR="00BF747D" w:rsidRPr="00BF747D" w:rsidRDefault="00BF747D" w:rsidP="00BF747D">
      <w:pPr>
        <w:widowControl/>
        <w:autoSpaceDE/>
        <w:autoSpaceDN/>
        <w:spacing w:line="259" w:lineRule="auto"/>
        <w:outlineLvl w:val="0"/>
        <w:rPr>
          <w:b/>
          <w:color w:val="000000"/>
          <w:sz w:val="24"/>
          <w:lang w:bidi="ar-SA"/>
        </w:rPr>
      </w:pPr>
      <w:r w:rsidRPr="00BF747D">
        <w:rPr>
          <w:b/>
          <w:color w:val="000000"/>
          <w:sz w:val="24"/>
          <w:lang w:bidi="ar-SA"/>
        </w:rPr>
        <w:t xml:space="preserve">Subject: </w:t>
      </w:r>
      <w:sdt>
        <w:sdtPr>
          <w:rPr>
            <w:b/>
            <w:color w:val="000000"/>
            <w:sz w:val="24"/>
            <w:lang w:bidi="ar-SA"/>
          </w:rPr>
          <w:id w:val="-1459642324"/>
          <w:placeholder>
            <w:docPart w:val="4E209BB96ADC4647A9C9D17AD5BB3C56"/>
          </w:placeholder>
          <w:text/>
        </w:sdtPr>
        <w:sdtContent>
          <w:r>
            <w:rPr>
              <w:b/>
              <w:color w:val="000000"/>
              <w:sz w:val="24"/>
              <w:lang w:bidi="ar-SA"/>
            </w:rPr>
            <w:t>Admissions- Transfer of College Credit by Examination</w:t>
          </w:r>
        </w:sdtContent>
      </w:sdt>
    </w:p>
    <w:p w:rsidR="00BF747D" w:rsidRPr="00BF747D" w:rsidRDefault="00BF747D" w:rsidP="00BF747D">
      <w:pPr>
        <w:rPr>
          <w:b/>
          <w:sz w:val="24"/>
          <w:szCs w:val="24"/>
        </w:rPr>
      </w:pPr>
    </w:p>
    <w:p w:rsidR="00BF747D" w:rsidRPr="00BF747D" w:rsidRDefault="00BF747D" w:rsidP="00BF747D">
      <w:pPr>
        <w:rPr>
          <w:sz w:val="24"/>
          <w:szCs w:val="24"/>
        </w:rPr>
      </w:pPr>
      <w:r w:rsidRPr="00BF747D">
        <w:rPr>
          <w:b/>
          <w:sz w:val="24"/>
          <w:szCs w:val="24"/>
        </w:rPr>
        <w:t>Responsible Division/Department</w:t>
      </w:r>
      <w:r w:rsidRPr="00BF747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3540150"/>
          <w:placeholder>
            <w:docPart w:val="4E209BB96ADC4647A9C9D17AD5BB3C56"/>
          </w:placeholder>
          <w:text/>
        </w:sdtPr>
        <w:sdtContent>
          <w:r>
            <w:rPr>
              <w:sz w:val="24"/>
              <w:szCs w:val="24"/>
            </w:rPr>
            <w:t>Academic Affairs</w:t>
          </w:r>
        </w:sdtContent>
      </w:sdt>
    </w:p>
    <w:p w:rsidR="00BF747D" w:rsidRPr="00BF747D" w:rsidRDefault="00BF747D" w:rsidP="00BF747D">
      <w:pPr>
        <w:rPr>
          <w:sz w:val="24"/>
          <w:szCs w:val="24"/>
        </w:rPr>
      </w:pPr>
    </w:p>
    <w:p w:rsidR="00BF747D" w:rsidRPr="00BF747D" w:rsidRDefault="00BF747D" w:rsidP="00BF747D">
      <w:pPr>
        <w:rPr>
          <w:b/>
          <w:sz w:val="24"/>
          <w:szCs w:val="24"/>
          <w:lang w:bidi="ar-SA"/>
        </w:rPr>
      </w:pPr>
      <w:r w:rsidRPr="00BF747D">
        <w:rPr>
          <w:b/>
          <w:sz w:val="24"/>
          <w:szCs w:val="24"/>
          <w:lang w:bidi="ar-SA"/>
        </w:rPr>
        <w:t xml:space="preserve">Check what type of Regulation this is: </w:t>
      </w:r>
    </w:p>
    <w:p w:rsidR="00BF747D" w:rsidRPr="00BF747D" w:rsidRDefault="00BF747D" w:rsidP="00BF747D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152903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bidi="ar-SA"/>
            </w:rPr>
            <w:t>☒</w:t>
          </w:r>
        </w:sdtContent>
      </w:sdt>
      <w:r w:rsidRPr="00BF747D">
        <w:rPr>
          <w:sz w:val="24"/>
          <w:szCs w:val="24"/>
          <w:lang w:bidi="ar-SA"/>
        </w:rPr>
        <w:t xml:space="preserve">New Regulation </w:t>
      </w:r>
    </w:p>
    <w:p w:rsidR="00BF747D" w:rsidRPr="00BF747D" w:rsidRDefault="00BF747D" w:rsidP="00BF747D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747D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BF747D">
        <w:rPr>
          <w:sz w:val="24"/>
          <w:szCs w:val="24"/>
          <w:lang w:bidi="ar-SA"/>
        </w:rPr>
        <w:t xml:space="preserve">Major Revision of Existing Regulation </w:t>
      </w:r>
    </w:p>
    <w:p w:rsidR="00BF747D" w:rsidRPr="00BF747D" w:rsidRDefault="00BF747D" w:rsidP="00BF747D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118948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747D">
            <w:rPr>
              <w:rFonts w:eastAsia="MS Gothic" w:hint="eastAsia"/>
              <w:sz w:val="24"/>
              <w:szCs w:val="24"/>
              <w:lang w:bidi="ar-SA"/>
            </w:rPr>
            <w:t>☐</w:t>
          </w:r>
        </w:sdtContent>
      </w:sdt>
      <w:r w:rsidRPr="00BF747D">
        <w:rPr>
          <w:sz w:val="24"/>
          <w:szCs w:val="24"/>
          <w:lang w:bidi="ar-SA"/>
        </w:rPr>
        <w:t>Minor/Technical Revision of Existing Regulation</w:t>
      </w:r>
    </w:p>
    <w:p w:rsidR="00BF747D" w:rsidRPr="00BF747D" w:rsidRDefault="00BF747D" w:rsidP="00BF747D">
      <w:pPr>
        <w:rPr>
          <w:sz w:val="24"/>
          <w:szCs w:val="24"/>
          <w:lang w:bidi="ar-SA"/>
        </w:rPr>
      </w:pPr>
      <w:sdt>
        <w:sdtPr>
          <w:rPr>
            <w:sz w:val="24"/>
            <w:szCs w:val="24"/>
            <w:lang w:bidi="ar-SA"/>
          </w:rPr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bidi="ar-SA"/>
            </w:rPr>
            <w:t>☐</w:t>
          </w:r>
        </w:sdtContent>
      </w:sdt>
      <w:r w:rsidRPr="00BF747D">
        <w:rPr>
          <w:sz w:val="24"/>
          <w:szCs w:val="24"/>
          <w:lang w:bidi="ar-SA"/>
        </w:rPr>
        <w:t xml:space="preserve">Reaffirmation of Existing Regulation </w:t>
      </w:r>
    </w:p>
    <w:p w:rsidR="003476F1" w:rsidRDefault="003476F1">
      <w:pPr>
        <w:pStyle w:val="BodyText"/>
        <w:spacing w:before="1"/>
        <w:rPr>
          <w:sz w:val="16"/>
        </w:rPr>
      </w:pPr>
    </w:p>
    <w:p w:rsidR="003476F1" w:rsidRPr="00BF747D" w:rsidRDefault="00BF747D" w:rsidP="00BF747D">
      <w:pPr>
        <w:pStyle w:val="Heading2"/>
      </w:pPr>
      <w:bookmarkStart w:id="1" w:name="I._OBJECTIVE_&amp;_PURPOSE"/>
      <w:bookmarkEnd w:id="1"/>
      <w:r w:rsidRPr="00BF747D">
        <w:t>OBJECTIVE &amp;</w:t>
      </w:r>
      <w:r w:rsidRPr="00BF747D">
        <w:t xml:space="preserve"> </w:t>
      </w:r>
      <w:r w:rsidRPr="00BF747D">
        <w:t>PURPOSE</w:t>
      </w:r>
    </w:p>
    <w:p w:rsidR="003476F1" w:rsidRDefault="00BF747D">
      <w:pPr>
        <w:pStyle w:val="BodyText"/>
        <w:spacing w:before="135"/>
        <w:ind w:left="120" w:right="119" w:firstLine="719"/>
        <w:jc w:val="both"/>
      </w:pPr>
      <w:r>
        <w:t>T</w:t>
      </w:r>
      <w:r>
        <w:t>he University of North Florida shall accept for credit College Level Examination Program (CLEP) and other State Board of Education approved standardized examinations when presented by students who are admitted and/or enrolled.</w:t>
      </w:r>
    </w:p>
    <w:p w:rsidR="003476F1" w:rsidRDefault="003476F1">
      <w:pPr>
        <w:pStyle w:val="BodyText"/>
        <w:spacing w:before="3"/>
      </w:pPr>
    </w:p>
    <w:p w:rsidR="003476F1" w:rsidRDefault="00BF747D" w:rsidP="00BF747D">
      <w:pPr>
        <w:pStyle w:val="Heading2"/>
      </w:pPr>
      <w:bookmarkStart w:id="2" w:name="II._STATEMENT_OF_REGULATION"/>
      <w:bookmarkEnd w:id="2"/>
      <w:r>
        <w:t>STATEMENT OF</w:t>
      </w:r>
      <w:r>
        <w:rPr>
          <w:spacing w:val="-3"/>
        </w:rPr>
        <w:t xml:space="preserve"> </w:t>
      </w:r>
      <w:r>
        <w:t>REGULATION</w:t>
      </w:r>
    </w:p>
    <w:p w:rsidR="003476F1" w:rsidRDefault="00BF747D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136"/>
        <w:ind w:right="685"/>
        <w:rPr>
          <w:sz w:val="24"/>
        </w:rPr>
      </w:pPr>
      <w:r>
        <w:rPr>
          <w:sz w:val="24"/>
        </w:rPr>
        <w:t xml:space="preserve">Credit awarded by universities </w:t>
      </w:r>
      <w:proofErr w:type="gramStart"/>
      <w:r>
        <w:rPr>
          <w:sz w:val="24"/>
        </w:rPr>
        <w:t>on the basis of</w:t>
      </w:r>
      <w:proofErr w:type="gramEnd"/>
      <w:r>
        <w:rPr>
          <w:sz w:val="24"/>
        </w:rPr>
        <w:t xml:space="preserve"> CLEP or other approved standardized examinations shall be fully transferable to the University of North Florida.</w:t>
      </w:r>
    </w:p>
    <w:p w:rsidR="003476F1" w:rsidRDefault="003476F1">
      <w:pPr>
        <w:pStyle w:val="BodyText"/>
        <w:spacing w:before="11"/>
        <w:rPr>
          <w:sz w:val="23"/>
        </w:rPr>
      </w:pPr>
    </w:p>
    <w:p w:rsidR="003476F1" w:rsidRDefault="00BF747D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left="1199" w:right="667"/>
        <w:rPr>
          <w:sz w:val="24"/>
        </w:rPr>
      </w:pPr>
      <w:r>
        <w:rPr>
          <w:sz w:val="24"/>
        </w:rPr>
        <w:t>All credit earned by examination while attending the University of</w:t>
      </w:r>
      <w:r>
        <w:rPr>
          <w:spacing w:val="-14"/>
          <w:sz w:val="24"/>
        </w:rPr>
        <w:t xml:space="preserve"> </w:t>
      </w:r>
      <w:r>
        <w:rPr>
          <w:sz w:val="24"/>
        </w:rPr>
        <w:t>North Florida will be included on official UNF transcripts for purposes of transferring the credit awarded to external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institutions.</w:t>
      </w:r>
    </w:p>
    <w:p w:rsidR="003476F1" w:rsidRDefault="003476F1">
      <w:pPr>
        <w:pStyle w:val="BodyText"/>
      </w:pPr>
    </w:p>
    <w:p w:rsidR="003476F1" w:rsidRDefault="00BF747D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left="1199" w:right="639"/>
        <w:rPr>
          <w:sz w:val="24"/>
        </w:rPr>
      </w:pPr>
      <w:r>
        <w:rPr>
          <w:sz w:val="24"/>
        </w:rPr>
        <w:t>Credit earned through CLEP or other approved standardiz</w:t>
      </w:r>
      <w:r>
        <w:rPr>
          <w:sz w:val="24"/>
        </w:rPr>
        <w:t>ed examination programs shall not be included in enrollment data for budget</w:t>
      </w:r>
      <w:r>
        <w:rPr>
          <w:spacing w:val="-9"/>
          <w:sz w:val="24"/>
        </w:rPr>
        <w:t xml:space="preserve"> </w:t>
      </w:r>
      <w:r>
        <w:rPr>
          <w:sz w:val="24"/>
        </w:rPr>
        <w:t>purposes.</w:t>
      </w:r>
    </w:p>
    <w:p w:rsidR="003476F1" w:rsidRDefault="003476F1">
      <w:pPr>
        <w:pStyle w:val="BodyText"/>
      </w:pPr>
    </w:p>
    <w:p w:rsidR="003476F1" w:rsidRDefault="00BF747D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ind w:left="1199" w:right="272"/>
        <w:rPr>
          <w:sz w:val="24"/>
        </w:rPr>
      </w:pPr>
      <w:r>
        <w:rPr>
          <w:sz w:val="24"/>
        </w:rPr>
        <w:t>Credit by examination guidelines are to be followed when awarding credit. These guidelines are available on the FACTS. Org website via the following link:</w:t>
      </w:r>
      <w:r>
        <w:rPr>
          <w:color w:val="0000FF"/>
          <w:spacing w:val="-13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http://facts23.facts.org/Advising%20Manuals/pdf/2007_ACC-CBE.pdf</w:t>
        </w:r>
      </w:hyperlink>
      <w:r>
        <w:rPr>
          <w:sz w:val="24"/>
        </w:rPr>
        <w:t>.</w:t>
      </w:r>
    </w:p>
    <w:p w:rsidR="003476F1" w:rsidRDefault="003476F1">
      <w:pPr>
        <w:pStyle w:val="BodyText"/>
        <w:spacing w:before="1"/>
      </w:pPr>
    </w:p>
    <w:p w:rsidR="003476F1" w:rsidRDefault="00BF747D" w:rsidP="00BF747D">
      <w:pPr>
        <w:tabs>
          <w:tab w:val="left" w:pos="6052"/>
        </w:tabs>
        <w:spacing w:before="1"/>
        <w:ind w:left="479" w:right="326"/>
        <w:rPr>
          <w:i/>
          <w:sz w:val="24"/>
        </w:rPr>
      </w:pPr>
      <w:r>
        <w:rPr>
          <w:i/>
          <w:sz w:val="24"/>
        </w:rPr>
        <w:t>Specific Authority: Florida Board of Governors Regulation 6.005 and Section 7(d), Art. IX, Fla. Const.; Approved by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BOT </w:t>
      </w:r>
      <w:r>
        <w:rPr>
          <w:i/>
          <w:sz w:val="24"/>
        </w:rPr>
        <w:t>and by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BOG</w:t>
      </w:r>
      <w:r>
        <w:rPr>
          <w:i/>
          <w:sz w:val="24"/>
        </w:rPr>
        <w:t>.</w:t>
      </w:r>
    </w:p>
    <w:p w:rsidR="003476F1" w:rsidRDefault="003476F1">
      <w:pPr>
        <w:pStyle w:val="BodyText"/>
        <w:spacing w:before="5"/>
        <w:rPr>
          <w:i/>
          <w:sz w:val="11"/>
        </w:rPr>
      </w:pPr>
    </w:p>
    <w:p w:rsidR="003476F1" w:rsidRDefault="003476F1" w:rsidP="00BF747D">
      <w:pPr>
        <w:pStyle w:val="BodyText"/>
        <w:spacing w:before="90"/>
      </w:pPr>
    </w:p>
    <w:sectPr w:rsidR="003476F1">
      <w:type w:val="continuous"/>
      <w:pgSz w:w="12240" w:h="15840"/>
      <w:pgMar w:top="7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04B72"/>
    <w:multiLevelType w:val="hybridMultilevel"/>
    <w:tmpl w:val="D854CA1E"/>
    <w:lvl w:ilvl="0" w:tplc="7FAA122E">
      <w:start w:val="1"/>
      <w:numFmt w:val="upperRoman"/>
      <w:pStyle w:val="Heading2"/>
      <w:lvlText w:val="%1.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FED8503C"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en-US"/>
      </w:rPr>
    </w:lvl>
    <w:lvl w:ilvl="2" w:tplc="9CB433B6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28C6A006">
      <w:numFmt w:val="bullet"/>
      <w:lvlText w:val="•"/>
      <w:lvlJc w:val="left"/>
      <w:pPr>
        <w:ind w:left="3504" w:hanging="720"/>
      </w:pPr>
      <w:rPr>
        <w:rFonts w:hint="default"/>
        <w:lang w:val="en-US" w:eastAsia="en-US" w:bidi="en-US"/>
      </w:rPr>
    </w:lvl>
    <w:lvl w:ilvl="4" w:tplc="B2528828"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en-US"/>
      </w:rPr>
    </w:lvl>
    <w:lvl w:ilvl="5" w:tplc="F7144446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en-US"/>
      </w:rPr>
    </w:lvl>
    <w:lvl w:ilvl="6" w:tplc="847E50B4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en-US"/>
      </w:rPr>
    </w:lvl>
    <w:lvl w:ilvl="7" w:tplc="7CDA2DA4"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en-US"/>
      </w:rPr>
    </w:lvl>
    <w:lvl w:ilvl="8" w:tplc="6B6A487A"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69F6416A"/>
    <w:multiLevelType w:val="hybridMultilevel"/>
    <w:tmpl w:val="8A128000"/>
    <w:lvl w:ilvl="0" w:tplc="2926064E">
      <w:start w:val="1"/>
      <w:numFmt w:val="decimal"/>
      <w:lvlText w:val="(%1)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19649348"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en-US"/>
      </w:rPr>
    </w:lvl>
    <w:lvl w:ilvl="2" w:tplc="BD980226">
      <w:numFmt w:val="bullet"/>
      <w:lvlText w:val="•"/>
      <w:lvlJc w:val="left"/>
      <w:pPr>
        <w:ind w:left="2736" w:hanging="720"/>
      </w:pPr>
      <w:rPr>
        <w:rFonts w:hint="default"/>
        <w:lang w:val="en-US" w:eastAsia="en-US" w:bidi="en-US"/>
      </w:rPr>
    </w:lvl>
    <w:lvl w:ilvl="3" w:tplc="A8AECCEE">
      <w:numFmt w:val="bullet"/>
      <w:lvlText w:val="•"/>
      <w:lvlJc w:val="left"/>
      <w:pPr>
        <w:ind w:left="3504" w:hanging="720"/>
      </w:pPr>
      <w:rPr>
        <w:rFonts w:hint="default"/>
        <w:lang w:val="en-US" w:eastAsia="en-US" w:bidi="en-US"/>
      </w:rPr>
    </w:lvl>
    <w:lvl w:ilvl="4" w:tplc="71181DF8"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en-US"/>
      </w:rPr>
    </w:lvl>
    <w:lvl w:ilvl="5" w:tplc="30708C28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en-US"/>
      </w:rPr>
    </w:lvl>
    <w:lvl w:ilvl="6" w:tplc="6516721E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en-US"/>
      </w:rPr>
    </w:lvl>
    <w:lvl w:ilvl="7" w:tplc="8D22F350"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en-US"/>
      </w:rPr>
    </w:lvl>
    <w:lvl w:ilvl="8" w:tplc="06962A5C"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NjAysjCxMDc2tzBR0lEKTi0uzszPAykwrAUAni2p2SwAAAA="/>
  </w:docVars>
  <w:rsids>
    <w:rsidRoot w:val="003476F1"/>
    <w:rsid w:val="003476F1"/>
    <w:rsid w:val="00B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C978"/>
  <w15:docId w15:val="{C5087D78-DA6A-45D4-A35D-12B3F22C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747D"/>
    <w:pPr>
      <w:numPr>
        <w:numId w:val="2"/>
      </w:numPr>
      <w:tabs>
        <w:tab w:val="left" w:pos="1199"/>
        <w:tab w:val="left" w:pos="1200"/>
      </w:tabs>
      <w:spacing w:before="9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9" w:hanging="720"/>
    </w:pPr>
  </w:style>
  <w:style w:type="paragraph" w:customStyle="1" w:styleId="TableParagraph">
    <w:name w:val="Table Paragraph"/>
    <w:basedOn w:val="Normal"/>
    <w:uiPriority w:val="1"/>
    <w:qFormat/>
    <w:pPr>
      <w:spacing w:before="114"/>
    </w:pPr>
  </w:style>
  <w:style w:type="character" w:customStyle="1" w:styleId="Heading2Char">
    <w:name w:val="Heading 2 Char"/>
    <w:basedOn w:val="DefaultParagraphFont"/>
    <w:link w:val="Heading2"/>
    <w:uiPriority w:val="9"/>
    <w:rsid w:val="00BF747D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7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ts23.facts.org/Advising%20Manuals/pdf/2007_ACC-CBE.pd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209BB96ADC4647A9C9D17AD5BB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ED3EB-28FD-4CC7-B13E-BE3B3359D178}"/>
      </w:docPartPr>
      <w:docPartBody>
        <w:p w:rsidR="00000000" w:rsidRDefault="00AC66FB" w:rsidP="00AC66FB">
          <w:pPr>
            <w:pStyle w:val="4E209BB96ADC4647A9C9D17AD5BB3C56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FB"/>
    <w:rsid w:val="00A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6FB"/>
    <w:rPr>
      <w:color w:val="808080"/>
    </w:rPr>
  </w:style>
  <w:style w:type="paragraph" w:customStyle="1" w:styleId="4E209BB96ADC4647A9C9D17AD5BB3C56">
    <w:name w:val="4E209BB96ADC4647A9C9D17AD5BB3C56"/>
    <w:rsid w:val="00AC66FB"/>
  </w:style>
  <w:style w:type="paragraph" w:customStyle="1" w:styleId="1415055B39A54FDD91071C230FF10750">
    <w:name w:val="1415055B39A54FDD91071C230FF10750"/>
    <w:rsid w:val="00AC6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President</Division>
    <lx4h xmlns="a8fbf49f-21ba-4487-b1fa-ffc4a5473ca3">
      <UserInfo>
        <DisplayName/>
        <AccountId xsi:nil="true"/>
        <AccountType/>
      </UserInfo>
    </lx4h>
    <Department xmlns="a8fbf49f-21ba-4487-b1fa-ffc4a5473ca3">BOT New Regulations</Department>
    <Document_x0020_Status xmlns="a8fbf49f-21ba-4487-b1fa-ffc4a5473ca3">Certified Regulations</Document_x0020_Status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32521CF4-EF99-4447-ACF3-626F780813A4}"/>
</file>

<file path=customXml/itemProps2.xml><?xml version="1.0" encoding="utf-8"?>
<ds:datastoreItem xmlns:ds="http://schemas.openxmlformats.org/officeDocument/2006/customXml" ds:itemID="{9AC362A2-72D8-412A-86FC-F7C982642A54}"/>
</file>

<file path=customXml/itemProps3.xml><?xml version="1.0" encoding="utf-8"?>
<ds:datastoreItem xmlns:ds="http://schemas.openxmlformats.org/officeDocument/2006/customXml" ds:itemID="{18581FE1-C277-4437-B04F-8FA95F39E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OP-B-2   ISSUANCE OF UNIVERSITY KEYS/ACCESS CONTROL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cp:lastModifiedBy>Rossomano, Nicole</cp:lastModifiedBy>
  <cp:revision>2</cp:revision>
  <dcterms:created xsi:type="dcterms:W3CDTF">2020-02-03T19:05:00Z</dcterms:created>
  <dcterms:modified xsi:type="dcterms:W3CDTF">2020-02-03T19:05:00Z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0x010100330B4FFE9BA0204FB96D85A847CFAF2C</vt:lpwstr>
  </property>
  <property fmtid="{D5CDD505-2E9C-101B-9397-08002B2CF9AE}" pid="6" name="pgjr">
    <vt:lpwstr/>
  </property>
  <property fmtid="{D5CDD505-2E9C-101B-9397-08002B2CF9AE}" pid="7" name="Month">
    <vt:lpwstr>NONE</vt:lpwstr>
  </property>
</Properties>
</file>