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3457" w14:textId="77777777" w:rsidR="007D2284" w:rsidRPr="007D2284" w:rsidRDefault="007D2284" w:rsidP="007D2284">
      <w:pPr>
        <w:widowControl/>
        <w:autoSpaceDE/>
        <w:autoSpaceDN/>
        <w:spacing w:after="330" w:line="259" w:lineRule="auto"/>
        <w:rPr>
          <w:color w:val="000000"/>
          <w:sz w:val="24"/>
        </w:rPr>
      </w:pPr>
      <w:r w:rsidRPr="007D2284">
        <w:rPr>
          <w:noProof/>
          <w:color w:val="000000"/>
          <w:sz w:val="24"/>
        </w:rPr>
        <w:drawing>
          <wp:inline distT="0" distB="0" distL="0" distR="0" wp14:anchorId="0DBABB47" wp14:editId="4FAF585D">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14:paraId="270AB816" w14:textId="77777777" w:rsidR="007D2284" w:rsidRPr="007D2284" w:rsidRDefault="007D2284" w:rsidP="007D2284">
      <w:pPr>
        <w:rPr>
          <w:sz w:val="24"/>
          <w:szCs w:val="24"/>
        </w:rPr>
      </w:pPr>
      <w:r w:rsidRPr="007D2284">
        <w:rPr>
          <w:b/>
          <w:sz w:val="24"/>
          <w:szCs w:val="24"/>
        </w:rPr>
        <w:t>Regulation Number</w:t>
      </w:r>
      <w:r w:rsidRPr="007D2284">
        <w:rPr>
          <w:sz w:val="24"/>
          <w:szCs w:val="24"/>
        </w:rPr>
        <w:t xml:space="preserve">: </w:t>
      </w:r>
      <w:r w:rsidRPr="007D2284">
        <w:rPr>
          <w:sz w:val="24"/>
          <w:szCs w:val="24"/>
        </w:rPr>
        <w:tab/>
      </w:r>
    </w:p>
    <w:p w14:paraId="6144EC99" w14:textId="77777777" w:rsidR="007D2284" w:rsidRPr="007D2284" w:rsidRDefault="007D2284" w:rsidP="007D2284">
      <w:pPr>
        <w:rPr>
          <w:sz w:val="24"/>
          <w:szCs w:val="24"/>
        </w:rPr>
      </w:pPr>
    </w:p>
    <w:p w14:paraId="2C3583CC" w14:textId="77777777" w:rsidR="007D2284" w:rsidRPr="007D2284" w:rsidRDefault="007D2284" w:rsidP="007D2284">
      <w:pPr>
        <w:rPr>
          <w:sz w:val="24"/>
          <w:szCs w:val="24"/>
        </w:rPr>
      </w:pPr>
      <w:r w:rsidRPr="007D2284">
        <w:rPr>
          <w:b/>
          <w:sz w:val="24"/>
          <w:szCs w:val="24"/>
        </w:rPr>
        <w:t>Effective Date</w:t>
      </w:r>
      <w:r w:rsidRPr="007D2284">
        <w:rPr>
          <w:sz w:val="24"/>
          <w:szCs w:val="24"/>
        </w:rPr>
        <w:t xml:space="preserve">:  </w:t>
      </w:r>
      <w:r w:rsidRPr="007D2284">
        <w:rPr>
          <w:sz w:val="24"/>
          <w:szCs w:val="24"/>
        </w:rPr>
        <w:tab/>
      </w:r>
      <w:r w:rsidRPr="007D2284">
        <w:rPr>
          <w:sz w:val="24"/>
          <w:szCs w:val="24"/>
        </w:rPr>
        <w:tab/>
      </w:r>
      <w:r w:rsidRPr="007D2284">
        <w:rPr>
          <w:b/>
          <w:sz w:val="24"/>
          <w:szCs w:val="24"/>
        </w:rPr>
        <w:t>Revised Date</w:t>
      </w:r>
      <w:r w:rsidRPr="007D2284">
        <w:rPr>
          <w:sz w:val="24"/>
          <w:szCs w:val="24"/>
        </w:rPr>
        <w:t xml:space="preserve">: </w:t>
      </w:r>
    </w:p>
    <w:p w14:paraId="1C0DF743" w14:textId="77777777" w:rsidR="007D2284" w:rsidRPr="007D2284" w:rsidRDefault="007D2284" w:rsidP="007D2284">
      <w:pPr>
        <w:rPr>
          <w:sz w:val="24"/>
          <w:szCs w:val="24"/>
        </w:rPr>
      </w:pPr>
    </w:p>
    <w:p w14:paraId="5ED38A1F" w14:textId="77777777" w:rsidR="007D2284" w:rsidRPr="003A70CE" w:rsidRDefault="007D2284" w:rsidP="003A70CE">
      <w:pPr>
        <w:pStyle w:val="Heading1"/>
        <w:spacing w:line="240" w:lineRule="auto"/>
      </w:pPr>
      <w:r w:rsidRPr="003A70CE">
        <w:t xml:space="preserve">Subject: </w:t>
      </w:r>
      <w:sdt>
        <w:sdtPr>
          <w:id w:val="-1459642324"/>
          <w:placeholder>
            <w:docPart w:val="52A14FD2DDF841258C6B9E6A724256C0"/>
          </w:placeholder>
          <w:text/>
        </w:sdtPr>
        <w:sdtEndPr/>
        <w:sdtContent>
          <w:r w:rsidRPr="003A70CE">
            <w:t>Admissions- First Time in College (“FITC”)</w:t>
          </w:r>
        </w:sdtContent>
      </w:sdt>
    </w:p>
    <w:p w14:paraId="7466BDB8" w14:textId="77777777" w:rsidR="007D2284" w:rsidRPr="007D2284" w:rsidRDefault="007D2284" w:rsidP="007D2284">
      <w:pPr>
        <w:rPr>
          <w:b/>
          <w:sz w:val="24"/>
          <w:szCs w:val="24"/>
          <w:lang w:bidi="en-US"/>
        </w:rPr>
      </w:pPr>
    </w:p>
    <w:p w14:paraId="248942B7" w14:textId="77777777" w:rsidR="007D2284" w:rsidRPr="007D2284" w:rsidRDefault="007D2284" w:rsidP="007D2284">
      <w:pPr>
        <w:rPr>
          <w:sz w:val="24"/>
          <w:szCs w:val="24"/>
          <w:lang w:bidi="en-US"/>
        </w:rPr>
      </w:pPr>
      <w:r w:rsidRPr="007D2284">
        <w:rPr>
          <w:b/>
          <w:sz w:val="24"/>
          <w:szCs w:val="24"/>
          <w:lang w:bidi="en-US"/>
        </w:rPr>
        <w:t>Responsible Division/Department</w:t>
      </w:r>
      <w:r w:rsidRPr="007D2284">
        <w:rPr>
          <w:sz w:val="24"/>
          <w:szCs w:val="24"/>
          <w:lang w:bidi="en-US"/>
        </w:rPr>
        <w:t xml:space="preserve">: </w:t>
      </w:r>
      <w:sdt>
        <w:sdtPr>
          <w:rPr>
            <w:sz w:val="24"/>
            <w:szCs w:val="24"/>
            <w:lang w:bidi="en-US"/>
          </w:rPr>
          <w:id w:val="353540150"/>
          <w:placeholder>
            <w:docPart w:val="52A14FD2DDF841258C6B9E6A724256C0"/>
          </w:placeholder>
          <w:text/>
        </w:sdtPr>
        <w:sdtEndPr/>
        <w:sdtContent>
          <w:r>
            <w:rPr>
              <w:sz w:val="24"/>
              <w:szCs w:val="24"/>
              <w:lang w:bidi="en-US"/>
            </w:rPr>
            <w:t>Academic Affairs</w:t>
          </w:r>
        </w:sdtContent>
      </w:sdt>
    </w:p>
    <w:p w14:paraId="40D13E86" w14:textId="77777777" w:rsidR="007D2284" w:rsidRPr="007D2284" w:rsidRDefault="007D2284" w:rsidP="007D2284">
      <w:pPr>
        <w:rPr>
          <w:sz w:val="24"/>
          <w:szCs w:val="24"/>
          <w:lang w:bidi="en-US"/>
        </w:rPr>
      </w:pPr>
    </w:p>
    <w:p w14:paraId="36585E91" w14:textId="77777777" w:rsidR="007D2284" w:rsidRPr="007D2284" w:rsidRDefault="007D2284" w:rsidP="007D2284">
      <w:pPr>
        <w:rPr>
          <w:b/>
          <w:sz w:val="24"/>
          <w:szCs w:val="24"/>
        </w:rPr>
      </w:pPr>
      <w:r w:rsidRPr="007D2284">
        <w:rPr>
          <w:b/>
          <w:sz w:val="24"/>
          <w:szCs w:val="24"/>
        </w:rPr>
        <w:t xml:space="preserve">Check what type of Regulation this is: </w:t>
      </w:r>
    </w:p>
    <w:p w14:paraId="7730A9E1" w14:textId="77777777" w:rsidR="007D2284" w:rsidRPr="007D2284" w:rsidRDefault="000E5CA5" w:rsidP="007D2284">
      <w:pPr>
        <w:rPr>
          <w:sz w:val="24"/>
          <w:szCs w:val="24"/>
        </w:rPr>
      </w:pPr>
      <w:sdt>
        <w:sdtPr>
          <w:rPr>
            <w:sz w:val="24"/>
            <w:szCs w:val="24"/>
          </w:rPr>
          <w:id w:val="415290310"/>
          <w14:checkbox>
            <w14:checked w14:val="1"/>
            <w14:checkedState w14:val="2612" w14:font="MS Gothic"/>
            <w14:uncheckedState w14:val="2610" w14:font="MS Gothic"/>
          </w14:checkbox>
        </w:sdtPr>
        <w:sdtEndPr/>
        <w:sdtContent>
          <w:r w:rsidR="007D2284">
            <w:rPr>
              <w:rFonts w:ascii="MS Gothic" w:eastAsia="MS Gothic" w:hAnsi="MS Gothic" w:hint="eastAsia"/>
              <w:sz w:val="24"/>
              <w:szCs w:val="24"/>
            </w:rPr>
            <w:t>☒</w:t>
          </w:r>
        </w:sdtContent>
      </w:sdt>
      <w:r w:rsidR="007D2284" w:rsidRPr="007D2284">
        <w:rPr>
          <w:sz w:val="24"/>
          <w:szCs w:val="24"/>
        </w:rPr>
        <w:t xml:space="preserve">New Regulation </w:t>
      </w:r>
    </w:p>
    <w:p w14:paraId="20F20856" w14:textId="77777777" w:rsidR="007D2284" w:rsidRPr="007D2284" w:rsidRDefault="000E5CA5" w:rsidP="007D2284">
      <w:pPr>
        <w:rPr>
          <w:sz w:val="24"/>
          <w:szCs w:val="24"/>
        </w:rPr>
      </w:pPr>
      <w:sdt>
        <w:sdtPr>
          <w:rPr>
            <w:sz w:val="24"/>
            <w:szCs w:val="24"/>
          </w:rPr>
          <w:id w:val="-858739724"/>
          <w14:checkbox>
            <w14:checked w14:val="0"/>
            <w14:checkedState w14:val="2612" w14:font="MS Gothic"/>
            <w14:uncheckedState w14:val="2610" w14:font="MS Gothic"/>
          </w14:checkbox>
        </w:sdtPr>
        <w:sdtEndPr/>
        <w:sdtContent>
          <w:r w:rsidR="007D2284" w:rsidRPr="007D2284">
            <w:rPr>
              <w:rFonts w:eastAsia="MS Gothic" w:hint="eastAsia"/>
              <w:sz w:val="24"/>
              <w:szCs w:val="24"/>
            </w:rPr>
            <w:t>☐</w:t>
          </w:r>
        </w:sdtContent>
      </w:sdt>
      <w:r w:rsidR="007D2284" w:rsidRPr="007D2284">
        <w:rPr>
          <w:sz w:val="24"/>
          <w:szCs w:val="24"/>
        </w:rPr>
        <w:t xml:space="preserve">Revision of Existing Regulation </w:t>
      </w:r>
    </w:p>
    <w:p w14:paraId="00369ECB" w14:textId="77777777" w:rsidR="007D2284" w:rsidRPr="007D2284" w:rsidRDefault="000E5CA5" w:rsidP="007D2284">
      <w:pPr>
        <w:rPr>
          <w:sz w:val="24"/>
          <w:szCs w:val="24"/>
        </w:rPr>
      </w:pPr>
      <w:sdt>
        <w:sdtPr>
          <w:rPr>
            <w:sz w:val="24"/>
            <w:szCs w:val="24"/>
          </w:rPr>
          <w:id w:val="1189488720"/>
          <w14:checkbox>
            <w14:checked w14:val="0"/>
            <w14:checkedState w14:val="2612" w14:font="MS Gothic"/>
            <w14:uncheckedState w14:val="2610" w14:font="MS Gothic"/>
          </w14:checkbox>
        </w:sdtPr>
        <w:sdtEndPr/>
        <w:sdtContent>
          <w:r w:rsidR="007D2284" w:rsidRPr="007D2284">
            <w:rPr>
              <w:rFonts w:eastAsia="MS Gothic" w:hint="eastAsia"/>
              <w:sz w:val="24"/>
              <w:szCs w:val="24"/>
            </w:rPr>
            <w:t>☐</w:t>
          </w:r>
        </w:sdtContent>
      </w:sdt>
      <w:r w:rsidR="007D2284" w:rsidRPr="007D2284">
        <w:rPr>
          <w:sz w:val="24"/>
          <w:szCs w:val="24"/>
        </w:rPr>
        <w:t>Minor/Technical Revision of Existing Regulation</w:t>
      </w:r>
    </w:p>
    <w:p w14:paraId="4A76732A" w14:textId="77777777" w:rsidR="007D2284" w:rsidRPr="007D2284" w:rsidRDefault="000E5CA5" w:rsidP="007D2284">
      <w:pPr>
        <w:rPr>
          <w:sz w:val="24"/>
          <w:szCs w:val="24"/>
        </w:rPr>
      </w:pPr>
      <w:sdt>
        <w:sdtPr>
          <w:rPr>
            <w:sz w:val="24"/>
            <w:szCs w:val="24"/>
          </w:rPr>
          <w:id w:val="425855086"/>
          <w14:checkbox>
            <w14:checked w14:val="0"/>
            <w14:checkedState w14:val="2612" w14:font="MS Gothic"/>
            <w14:uncheckedState w14:val="2610" w14:font="MS Gothic"/>
          </w14:checkbox>
        </w:sdtPr>
        <w:sdtEndPr/>
        <w:sdtContent>
          <w:r w:rsidR="007D2284" w:rsidRPr="007D2284">
            <w:rPr>
              <w:rFonts w:eastAsia="MS Gothic" w:hint="eastAsia"/>
              <w:sz w:val="24"/>
              <w:szCs w:val="24"/>
            </w:rPr>
            <w:t>☐</w:t>
          </w:r>
        </w:sdtContent>
      </w:sdt>
      <w:r w:rsidR="007D2284" w:rsidRPr="007D2284">
        <w:rPr>
          <w:sz w:val="24"/>
          <w:szCs w:val="24"/>
        </w:rPr>
        <w:t xml:space="preserve">Reaffirmation of Existing Regulation </w:t>
      </w:r>
    </w:p>
    <w:p w14:paraId="3D2CEC8C" w14:textId="77777777" w:rsidR="00D8198A" w:rsidRDefault="00D8198A">
      <w:pPr>
        <w:pStyle w:val="BodyText"/>
        <w:spacing w:before="1"/>
        <w:rPr>
          <w:sz w:val="16"/>
        </w:rPr>
      </w:pPr>
    </w:p>
    <w:p w14:paraId="7F7B9A5C" w14:textId="77777777" w:rsidR="00D8198A" w:rsidRPr="007D2284" w:rsidRDefault="007D2284" w:rsidP="003A70CE">
      <w:pPr>
        <w:pStyle w:val="Heading2"/>
      </w:pPr>
      <w:bookmarkStart w:id="0" w:name="I._OBJECTIVE_&amp;_PURPOSE"/>
      <w:bookmarkEnd w:id="0"/>
      <w:r w:rsidRPr="007D2284">
        <w:t>OBJECTIVE &amp; PURPOSE</w:t>
      </w:r>
    </w:p>
    <w:p w14:paraId="43DDC404" w14:textId="77777777" w:rsidR="00D8198A" w:rsidRDefault="007D2284">
      <w:pPr>
        <w:pStyle w:val="BodyText"/>
        <w:spacing w:before="135"/>
        <w:ind w:left="480" w:right="680" w:firstLine="360"/>
      </w:pPr>
      <w:r>
        <w:t>This regulation applies to first-time, degree-seeking freshmen as defined as students who have earned a high school diploma or its equivalent and have earned less than 12 semester hours of transferable college credit after high school graduation. This excludes college credits earned during high school completion through accelerated mechanisms such as IB, AICE, AP, and dual enrollment</w:t>
      </w:r>
      <w:r>
        <w:rPr>
          <w:spacing w:val="-8"/>
        </w:rPr>
        <w:t xml:space="preserve"> </w:t>
      </w:r>
      <w:r>
        <w:t>classes.</w:t>
      </w:r>
    </w:p>
    <w:p w14:paraId="2DB5AC64" w14:textId="77777777" w:rsidR="00D8198A" w:rsidRDefault="00D8198A">
      <w:pPr>
        <w:pStyle w:val="BodyText"/>
        <w:spacing w:before="3"/>
      </w:pPr>
    </w:p>
    <w:p w14:paraId="2DA33120" w14:textId="77777777" w:rsidR="00D8198A" w:rsidRPr="007D2284" w:rsidRDefault="007D2284" w:rsidP="003A70CE">
      <w:pPr>
        <w:pStyle w:val="Heading2"/>
      </w:pPr>
      <w:bookmarkStart w:id="1" w:name="II._STATEMENT_OF_REGULATION"/>
      <w:bookmarkEnd w:id="1"/>
      <w:r w:rsidRPr="007D2284">
        <w:t>STATEMENT OF REGULATION</w:t>
      </w:r>
    </w:p>
    <w:p w14:paraId="68A06653" w14:textId="77777777" w:rsidR="00D8198A" w:rsidRDefault="007D2284">
      <w:pPr>
        <w:pStyle w:val="ListParagraph"/>
        <w:numPr>
          <w:ilvl w:val="0"/>
          <w:numId w:val="4"/>
        </w:numPr>
        <w:tabs>
          <w:tab w:val="left" w:pos="840"/>
        </w:tabs>
        <w:spacing w:before="136"/>
        <w:ind w:right="692"/>
        <w:jc w:val="left"/>
        <w:rPr>
          <w:sz w:val="24"/>
        </w:rPr>
      </w:pPr>
      <w:r>
        <w:rPr>
          <w:sz w:val="24"/>
        </w:rPr>
        <w:t>Eligibility for admissions does not guarantee admissions to the University of North Florida as the University of North Florida reserves the right to require more stringent admissions requirements than the minimums expressed by the State of Florida.</w:t>
      </w:r>
    </w:p>
    <w:p w14:paraId="6C8265DA" w14:textId="77777777" w:rsidR="00D8198A" w:rsidRDefault="007D2284">
      <w:pPr>
        <w:pStyle w:val="ListParagraph"/>
        <w:numPr>
          <w:ilvl w:val="0"/>
          <w:numId w:val="4"/>
        </w:numPr>
        <w:tabs>
          <w:tab w:val="left" w:pos="840"/>
        </w:tabs>
        <w:ind w:right="664"/>
        <w:jc w:val="left"/>
        <w:rPr>
          <w:sz w:val="24"/>
        </w:rPr>
      </w:pPr>
      <w:r>
        <w:rPr>
          <w:sz w:val="24"/>
        </w:rPr>
        <w:t>Normally a high school diploma from a Florida public or regionally accredited high school, or its equivalent shall be required for admissions to the University of North Florida. Students completing high school graduation from a home education program according to Section 1002.41, F.S., are eligible for admissions; however, the University of North Florida may require additional information and documentation to verify a student’s eligibility. Students admitted under early admissions in accordance with the Board of Governors regulations are exempted from this requirement while they are classified as early admissions</w:t>
      </w:r>
      <w:r>
        <w:rPr>
          <w:spacing w:val="-20"/>
          <w:sz w:val="24"/>
        </w:rPr>
        <w:t xml:space="preserve"> </w:t>
      </w:r>
      <w:r>
        <w:rPr>
          <w:sz w:val="24"/>
        </w:rPr>
        <w:t>students.</w:t>
      </w:r>
    </w:p>
    <w:p w14:paraId="618A4505" w14:textId="77777777" w:rsidR="00D8198A" w:rsidRDefault="007D2284">
      <w:pPr>
        <w:pStyle w:val="ListParagraph"/>
        <w:numPr>
          <w:ilvl w:val="0"/>
          <w:numId w:val="4"/>
        </w:numPr>
        <w:tabs>
          <w:tab w:val="left" w:pos="840"/>
        </w:tabs>
        <w:ind w:right="660"/>
        <w:jc w:val="left"/>
        <w:rPr>
          <w:sz w:val="24"/>
        </w:rPr>
      </w:pPr>
      <w:r>
        <w:rPr>
          <w:sz w:val="24"/>
        </w:rPr>
        <w:t xml:space="preserve">A student applying for admissions who is participating in a non-traditional high school program must present </w:t>
      </w:r>
      <w:r>
        <w:rPr>
          <w:b/>
          <w:sz w:val="24"/>
        </w:rPr>
        <w:t xml:space="preserve">to the University of North Florida credentials judged to be equivalent to those described in regulation.  </w:t>
      </w:r>
      <w:r>
        <w:rPr>
          <w:sz w:val="24"/>
        </w:rPr>
        <w:t>A student whose high school educational program is not measured in Carnegie Units must present</w:t>
      </w:r>
      <w:r>
        <w:rPr>
          <w:spacing w:val="-20"/>
          <w:sz w:val="24"/>
        </w:rPr>
        <w:t xml:space="preserve"> </w:t>
      </w:r>
      <w:r>
        <w:rPr>
          <w:sz w:val="24"/>
        </w:rPr>
        <w:t>a test score of at least 1010 on the SAT I, critical reading and math</w:t>
      </w:r>
      <w:r>
        <w:rPr>
          <w:spacing w:val="-15"/>
          <w:sz w:val="24"/>
        </w:rPr>
        <w:t xml:space="preserve"> </w:t>
      </w:r>
      <w:r>
        <w:rPr>
          <w:sz w:val="24"/>
        </w:rPr>
        <w:t>sections</w:t>
      </w:r>
    </w:p>
    <w:p w14:paraId="1086AF28" w14:textId="77777777" w:rsidR="00D8198A" w:rsidRDefault="00D8198A">
      <w:pPr>
        <w:rPr>
          <w:sz w:val="24"/>
        </w:rPr>
        <w:sectPr w:rsidR="00D8198A">
          <w:type w:val="continuous"/>
          <w:pgSz w:w="12240" w:h="15840"/>
          <w:pgMar w:top="780" w:right="1140" w:bottom="280" w:left="1680" w:header="720" w:footer="720" w:gutter="0"/>
          <w:cols w:space="720"/>
        </w:sectPr>
      </w:pPr>
    </w:p>
    <w:p w14:paraId="19FA38F2" w14:textId="77777777" w:rsidR="00D8198A" w:rsidRDefault="007D2284">
      <w:pPr>
        <w:pStyle w:val="BodyText"/>
        <w:spacing w:before="76"/>
        <w:ind w:left="840" w:right="680"/>
      </w:pPr>
      <w:r>
        <w:lastRenderedPageBreak/>
        <w:t>portions, or the equivalent composite score on the ACT of 21. Students with test scores from older versions of the SAT/ACT may be required to retest for admissions purposes.</w:t>
      </w:r>
    </w:p>
    <w:p w14:paraId="2F676439" w14:textId="77777777" w:rsidR="00D8198A" w:rsidRDefault="007D2284">
      <w:pPr>
        <w:pStyle w:val="ListParagraph"/>
        <w:numPr>
          <w:ilvl w:val="0"/>
          <w:numId w:val="4"/>
        </w:numPr>
        <w:tabs>
          <w:tab w:val="left" w:pos="840"/>
        </w:tabs>
        <w:spacing w:before="1"/>
        <w:ind w:right="774"/>
        <w:jc w:val="left"/>
        <w:rPr>
          <w:sz w:val="24"/>
        </w:rPr>
      </w:pPr>
      <w:r>
        <w:rPr>
          <w:sz w:val="24"/>
        </w:rPr>
        <w:t>All FTIC students must submit scores from either the SAT reasoning test or</w:t>
      </w:r>
      <w:r>
        <w:rPr>
          <w:spacing w:val="-21"/>
          <w:sz w:val="24"/>
        </w:rPr>
        <w:t xml:space="preserve"> </w:t>
      </w:r>
      <w:r>
        <w:rPr>
          <w:sz w:val="24"/>
        </w:rPr>
        <w:t>from the ACT test.</w:t>
      </w:r>
    </w:p>
    <w:p w14:paraId="2C7C9D0D" w14:textId="77777777" w:rsidR="00D8198A" w:rsidRDefault="007D2284">
      <w:pPr>
        <w:pStyle w:val="ListParagraph"/>
        <w:numPr>
          <w:ilvl w:val="0"/>
          <w:numId w:val="4"/>
        </w:numPr>
        <w:tabs>
          <w:tab w:val="left" w:pos="840"/>
        </w:tabs>
        <w:ind w:right="770"/>
        <w:jc w:val="left"/>
        <w:rPr>
          <w:sz w:val="24"/>
        </w:rPr>
      </w:pPr>
      <w:r>
        <w:rPr>
          <w:sz w:val="24"/>
        </w:rPr>
        <w:t>Students may be considered eligible for admissions in one of the following ways, except as provided in subsection (3)</w:t>
      </w:r>
      <w:r>
        <w:rPr>
          <w:spacing w:val="-6"/>
          <w:sz w:val="24"/>
        </w:rPr>
        <w:t xml:space="preserve"> </w:t>
      </w:r>
      <w:r>
        <w:rPr>
          <w:sz w:val="24"/>
        </w:rPr>
        <w:t>above:</w:t>
      </w:r>
    </w:p>
    <w:p w14:paraId="43A1B3FE" w14:textId="77777777" w:rsidR="00D8198A" w:rsidRDefault="00D8198A">
      <w:pPr>
        <w:pStyle w:val="BodyText"/>
        <w:spacing w:before="11"/>
        <w:rPr>
          <w:sz w:val="23"/>
        </w:rPr>
      </w:pPr>
    </w:p>
    <w:p w14:paraId="2D8300EC" w14:textId="77777777" w:rsidR="00D8198A" w:rsidRDefault="007D2284">
      <w:pPr>
        <w:pStyle w:val="ListParagraph"/>
        <w:numPr>
          <w:ilvl w:val="1"/>
          <w:numId w:val="4"/>
        </w:numPr>
        <w:tabs>
          <w:tab w:val="left" w:pos="2427"/>
        </w:tabs>
        <w:ind w:left="2099" w:right="692" w:firstLine="0"/>
        <w:jc w:val="left"/>
        <w:rPr>
          <w:sz w:val="24"/>
        </w:rPr>
      </w:pPr>
      <w:r>
        <w:rPr>
          <w:sz w:val="24"/>
        </w:rPr>
        <w:t>Standard Admissions: A student applying for admissions who has a satisfactory high school record, including at least a “B” average (3.0 on a 4.0 scale) in the required high school academic units normally offered in grades 9-12, and who submits other appropriate evidence that the student can be expected to carry out successful academic progress at the University of North Florida, is said to have met the minimum threshold for admissions consideration. In computing the high school grade point average for purposes of admissions to the University of North Florida, additional weights will be assigned for grades in Honors, Dual Enrollment, AICE, IB, and AP courses.</w:t>
      </w:r>
    </w:p>
    <w:p w14:paraId="15C73BEC" w14:textId="77777777" w:rsidR="00D8198A" w:rsidRDefault="00D8198A">
      <w:pPr>
        <w:pStyle w:val="BodyText"/>
      </w:pPr>
    </w:p>
    <w:p w14:paraId="17528C93" w14:textId="77777777" w:rsidR="00D8198A" w:rsidRDefault="007D2284">
      <w:pPr>
        <w:pStyle w:val="ListParagraph"/>
        <w:numPr>
          <w:ilvl w:val="2"/>
          <w:numId w:val="4"/>
        </w:numPr>
        <w:tabs>
          <w:tab w:val="left" w:pos="3000"/>
        </w:tabs>
        <w:ind w:left="2999" w:right="878"/>
        <w:jc w:val="left"/>
        <w:rPr>
          <w:sz w:val="24"/>
        </w:rPr>
      </w:pPr>
      <w:r>
        <w:rPr>
          <w:sz w:val="24"/>
        </w:rPr>
        <w:t>The high school academic unit requirements for students entering high school prior to July 1</w:t>
      </w:r>
      <w:r>
        <w:rPr>
          <w:sz w:val="24"/>
          <w:vertAlign w:val="superscript"/>
        </w:rPr>
        <w:t>st</w:t>
      </w:r>
      <w:r>
        <w:rPr>
          <w:sz w:val="24"/>
        </w:rPr>
        <w:t>, 2007 are as</w:t>
      </w:r>
      <w:r>
        <w:rPr>
          <w:spacing w:val="-7"/>
          <w:sz w:val="24"/>
        </w:rPr>
        <w:t xml:space="preserve"> </w:t>
      </w:r>
      <w:r>
        <w:rPr>
          <w:sz w:val="24"/>
        </w:rPr>
        <w:t>follows:</w:t>
      </w:r>
    </w:p>
    <w:p w14:paraId="54E7B3F3" w14:textId="77777777" w:rsidR="00D8198A" w:rsidRDefault="00D8198A">
      <w:pPr>
        <w:pStyle w:val="BodyText"/>
      </w:pPr>
    </w:p>
    <w:p w14:paraId="57EF553B" w14:textId="77777777" w:rsidR="00D8198A" w:rsidRDefault="007D2284">
      <w:pPr>
        <w:pStyle w:val="BodyText"/>
        <w:ind w:left="3000"/>
      </w:pPr>
      <w:r>
        <w:rPr>
          <w:b/>
        </w:rPr>
        <w:t xml:space="preserve">4 </w:t>
      </w:r>
      <w:r>
        <w:t>credits of English/Language Arts</w:t>
      </w:r>
    </w:p>
    <w:p w14:paraId="13A59E1D" w14:textId="77777777" w:rsidR="00D8198A" w:rsidRDefault="007D2284">
      <w:pPr>
        <w:pStyle w:val="BodyText"/>
        <w:ind w:left="3000"/>
      </w:pPr>
      <w:r>
        <w:rPr>
          <w:b/>
        </w:rPr>
        <w:t xml:space="preserve">3 </w:t>
      </w:r>
      <w:r>
        <w:t>credits of math at or above Algebra I</w:t>
      </w:r>
    </w:p>
    <w:p w14:paraId="53AF84AB" w14:textId="77777777" w:rsidR="00D8198A" w:rsidRDefault="007D2284">
      <w:pPr>
        <w:pStyle w:val="BodyText"/>
        <w:spacing w:before="1"/>
        <w:ind w:left="2999" w:right="1129"/>
      </w:pPr>
      <w:r>
        <w:rPr>
          <w:b/>
        </w:rPr>
        <w:t xml:space="preserve">3 </w:t>
      </w:r>
      <w:r>
        <w:t>credits of natural science (two of which must include substantial laboratory requirements.</w:t>
      </w:r>
    </w:p>
    <w:p w14:paraId="0F816E90" w14:textId="77777777" w:rsidR="00D8198A" w:rsidRDefault="007D2284">
      <w:pPr>
        <w:pStyle w:val="BodyText"/>
        <w:spacing w:line="275" w:lineRule="exact"/>
        <w:ind w:left="2999"/>
      </w:pPr>
      <w:r>
        <w:rPr>
          <w:b/>
        </w:rPr>
        <w:t xml:space="preserve">3 </w:t>
      </w:r>
      <w:r>
        <w:t>credits of social science</w:t>
      </w:r>
    </w:p>
    <w:p w14:paraId="737B4700" w14:textId="77777777" w:rsidR="00D8198A" w:rsidRDefault="007D2284">
      <w:pPr>
        <w:pStyle w:val="ListParagraph"/>
        <w:numPr>
          <w:ilvl w:val="0"/>
          <w:numId w:val="3"/>
        </w:numPr>
        <w:tabs>
          <w:tab w:val="left" w:pos="3180"/>
        </w:tabs>
        <w:ind w:left="2999" w:right="918" w:firstLine="0"/>
        <w:jc w:val="both"/>
        <w:rPr>
          <w:sz w:val="24"/>
        </w:rPr>
      </w:pPr>
      <w:r>
        <w:rPr>
          <w:sz w:val="24"/>
        </w:rPr>
        <w:t>credits of foreign language (both credits must be in the same language sequence and American Sign Language is an acceptable foreign language</w:t>
      </w:r>
      <w:r>
        <w:rPr>
          <w:spacing w:val="-1"/>
          <w:sz w:val="24"/>
        </w:rPr>
        <w:t xml:space="preserve"> </w:t>
      </w:r>
      <w:r>
        <w:rPr>
          <w:sz w:val="24"/>
        </w:rPr>
        <w:t>class).</w:t>
      </w:r>
    </w:p>
    <w:p w14:paraId="5B5FD025" w14:textId="77777777" w:rsidR="00D8198A" w:rsidRDefault="007D2284">
      <w:pPr>
        <w:pStyle w:val="ListParagraph"/>
        <w:numPr>
          <w:ilvl w:val="0"/>
          <w:numId w:val="3"/>
        </w:numPr>
        <w:tabs>
          <w:tab w:val="left" w:pos="3180"/>
        </w:tabs>
        <w:ind w:left="3179" w:hanging="181"/>
        <w:jc w:val="both"/>
        <w:rPr>
          <w:sz w:val="24"/>
        </w:rPr>
      </w:pPr>
      <w:r>
        <w:rPr>
          <w:sz w:val="24"/>
        </w:rPr>
        <w:t>additional academic elective</w:t>
      </w:r>
      <w:r>
        <w:rPr>
          <w:spacing w:val="-4"/>
          <w:sz w:val="24"/>
        </w:rPr>
        <w:t xml:space="preserve"> </w:t>
      </w:r>
      <w:r>
        <w:rPr>
          <w:sz w:val="24"/>
        </w:rPr>
        <w:t>credits</w:t>
      </w:r>
    </w:p>
    <w:p w14:paraId="05C1131B" w14:textId="77777777" w:rsidR="00D8198A" w:rsidRDefault="007D2284">
      <w:pPr>
        <w:pStyle w:val="BodyText"/>
        <w:ind w:left="2999" w:right="742"/>
      </w:pPr>
      <w:r>
        <w:t>These credits total 18 credits earned upon graduation in these specific sequences and a listing of classes which will satisfy these requirements is available at FACTS.org in the Florida Counseling for Future Education Handbook found in their advising manuals section.</w:t>
      </w:r>
    </w:p>
    <w:p w14:paraId="5B06A95B" w14:textId="77777777" w:rsidR="00D8198A" w:rsidRDefault="00D8198A">
      <w:pPr>
        <w:pStyle w:val="BodyText"/>
      </w:pPr>
    </w:p>
    <w:p w14:paraId="299BEAE4" w14:textId="77777777" w:rsidR="00D8198A" w:rsidRDefault="007D2284">
      <w:pPr>
        <w:pStyle w:val="ListParagraph"/>
        <w:numPr>
          <w:ilvl w:val="2"/>
          <w:numId w:val="4"/>
        </w:numPr>
        <w:tabs>
          <w:tab w:val="left" w:pos="3000"/>
        </w:tabs>
        <w:ind w:left="2999" w:right="732"/>
        <w:jc w:val="left"/>
        <w:rPr>
          <w:sz w:val="24"/>
        </w:rPr>
      </w:pPr>
      <w:r>
        <w:rPr>
          <w:sz w:val="24"/>
        </w:rPr>
        <w:t>Students who entered as high school freshmen prior to July 1</w:t>
      </w:r>
      <w:r>
        <w:rPr>
          <w:sz w:val="24"/>
          <w:vertAlign w:val="superscript"/>
        </w:rPr>
        <w:t>st</w:t>
      </w:r>
      <w:r>
        <w:rPr>
          <w:sz w:val="24"/>
        </w:rPr>
        <w:t xml:space="preserve">, </w:t>
      </w:r>
      <w:proofErr w:type="gramStart"/>
      <w:r>
        <w:rPr>
          <w:sz w:val="24"/>
        </w:rPr>
        <w:t>2000</w:t>
      </w:r>
      <w:proofErr w:type="gramEnd"/>
      <w:r>
        <w:rPr>
          <w:sz w:val="24"/>
        </w:rPr>
        <w:t xml:space="preserve"> may complete the three elective requirement in any combination of courses listed in the Department of education Course Code Directory as</w:t>
      </w:r>
      <w:r>
        <w:rPr>
          <w:spacing w:val="-6"/>
          <w:sz w:val="24"/>
        </w:rPr>
        <w:t xml:space="preserve"> </w:t>
      </w:r>
      <w:r>
        <w:rPr>
          <w:sz w:val="24"/>
        </w:rPr>
        <w:t>follows:</w:t>
      </w:r>
    </w:p>
    <w:p w14:paraId="5D8EF6B5" w14:textId="77777777" w:rsidR="00D8198A" w:rsidRDefault="00D8198A">
      <w:pPr>
        <w:pStyle w:val="BodyText"/>
      </w:pPr>
    </w:p>
    <w:p w14:paraId="509B5B57" w14:textId="77777777" w:rsidR="00D8198A" w:rsidRDefault="007D2284">
      <w:pPr>
        <w:pStyle w:val="ListParagraph"/>
        <w:numPr>
          <w:ilvl w:val="3"/>
          <w:numId w:val="4"/>
        </w:numPr>
        <w:tabs>
          <w:tab w:val="left" w:pos="3720"/>
        </w:tabs>
        <w:ind w:right="677"/>
        <w:rPr>
          <w:sz w:val="24"/>
        </w:rPr>
      </w:pPr>
      <w:r>
        <w:rPr>
          <w:sz w:val="24"/>
        </w:rPr>
        <w:t>Up to three credits of Level II courses in English/Language Arts, Mathematics, Natural Science, Social Science, Foreign Language, or Fine Arts; Level III courses in any discipline; grade nine or above courses in Humanities or Computer Science; Dual Enrollment courses for which both high school and postsecondary credit are granted;</w:t>
      </w:r>
      <w:r>
        <w:rPr>
          <w:spacing w:val="-2"/>
          <w:sz w:val="24"/>
        </w:rPr>
        <w:t xml:space="preserve"> </w:t>
      </w:r>
      <w:r>
        <w:rPr>
          <w:spacing w:val="-7"/>
          <w:sz w:val="24"/>
        </w:rPr>
        <w:t>or</w:t>
      </w:r>
    </w:p>
    <w:p w14:paraId="730BED6C" w14:textId="77777777" w:rsidR="00D8198A" w:rsidRDefault="00D8198A">
      <w:pPr>
        <w:rPr>
          <w:sz w:val="24"/>
        </w:rPr>
        <w:sectPr w:rsidR="00D8198A">
          <w:footerReference w:type="default" r:id="rId11"/>
          <w:pgSz w:w="12240" w:h="15840"/>
          <w:pgMar w:top="640" w:right="1140" w:bottom="940" w:left="1680" w:header="0" w:footer="740" w:gutter="0"/>
          <w:pgNumType w:start="2"/>
          <w:cols w:space="720"/>
        </w:sectPr>
      </w:pPr>
    </w:p>
    <w:p w14:paraId="2BA039C1" w14:textId="77777777" w:rsidR="00D8198A" w:rsidRDefault="007D2284">
      <w:pPr>
        <w:pStyle w:val="BodyText"/>
        <w:spacing w:before="76"/>
        <w:ind w:left="3720" w:right="854"/>
      </w:pPr>
      <w:r>
        <w:lastRenderedPageBreak/>
        <w:t>equivalent courses in any discipline as determined by the Articulation Coordinating Committee.</w:t>
      </w:r>
    </w:p>
    <w:p w14:paraId="3CD45BC8" w14:textId="77777777" w:rsidR="00D8198A" w:rsidRDefault="007D2284">
      <w:pPr>
        <w:pStyle w:val="ListParagraph"/>
        <w:numPr>
          <w:ilvl w:val="3"/>
          <w:numId w:val="4"/>
        </w:numPr>
        <w:tabs>
          <w:tab w:val="left" w:pos="3720"/>
        </w:tabs>
        <w:ind w:right="658"/>
        <w:rPr>
          <w:sz w:val="24"/>
        </w:rPr>
      </w:pPr>
      <w:r>
        <w:rPr>
          <w:sz w:val="24"/>
        </w:rPr>
        <w:t>Up to two credits in courses grade nine and above in ROTC/Military training, or in Vocational Education.</w:t>
      </w:r>
    </w:p>
    <w:p w14:paraId="39D1EA1D" w14:textId="77777777" w:rsidR="00D8198A" w:rsidRDefault="007D2284">
      <w:pPr>
        <w:pStyle w:val="ListParagraph"/>
        <w:numPr>
          <w:ilvl w:val="3"/>
          <w:numId w:val="4"/>
        </w:numPr>
        <w:tabs>
          <w:tab w:val="left" w:pos="3720"/>
        </w:tabs>
        <w:spacing w:before="1"/>
        <w:ind w:right="946"/>
        <w:rPr>
          <w:sz w:val="24"/>
        </w:rPr>
      </w:pPr>
      <w:r>
        <w:rPr>
          <w:sz w:val="24"/>
        </w:rPr>
        <w:t>A maximum of one credit in courses in Research, Leadership Skills Development, Executive Internships, or Physical Education and Life Management</w:t>
      </w:r>
      <w:r>
        <w:rPr>
          <w:spacing w:val="-2"/>
          <w:sz w:val="24"/>
        </w:rPr>
        <w:t xml:space="preserve"> </w:t>
      </w:r>
      <w:r>
        <w:rPr>
          <w:sz w:val="24"/>
        </w:rPr>
        <w:t>Skills.</w:t>
      </w:r>
    </w:p>
    <w:p w14:paraId="450F27F0" w14:textId="77777777" w:rsidR="00D8198A" w:rsidRDefault="00D8198A">
      <w:pPr>
        <w:pStyle w:val="BodyText"/>
        <w:spacing w:before="11"/>
        <w:rPr>
          <w:sz w:val="23"/>
        </w:rPr>
      </w:pPr>
    </w:p>
    <w:p w14:paraId="717BEE03" w14:textId="77777777" w:rsidR="00D8198A" w:rsidRDefault="007D2284">
      <w:pPr>
        <w:pStyle w:val="ListParagraph"/>
        <w:numPr>
          <w:ilvl w:val="2"/>
          <w:numId w:val="4"/>
        </w:numPr>
        <w:tabs>
          <w:tab w:val="left" w:pos="3000"/>
        </w:tabs>
        <w:ind w:left="2999" w:right="824"/>
        <w:jc w:val="left"/>
        <w:rPr>
          <w:sz w:val="24"/>
        </w:rPr>
      </w:pPr>
      <w:r>
        <w:rPr>
          <w:sz w:val="24"/>
        </w:rPr>
        <w:t>Students who entered as high school freshmen July 1</w:t>
      </w:r>
      <w:r>
        <w:rPr>
          <w:sz w:val="24"/>
          <w:vertAlign w:val="superscript"/>
        </w:rPr>
        <w:t>st</w:t>
      </w:r>
      <w:r>
        <w:rPr>
          <w:sz w:val="24"/>
        </w:rPr>
        <w:t>, 2000 through June 30</w:t>
      </w:r>
      <w:r>
        <w:rPr>
          <w:sz w:val="24"/>
          <w:vertAlign w:val="superscript"/>
        </w:rPr>
        <w:t>th</w:t>
      </w:r>
      <w:r>
        <w:rPr>
          <w:sz w:val="24"/>
        </w:rPr>
        <w:t>, 2007 may complete the three elective requirements in any combination of courses listed in the Department of Education Course Code Directory as follows:</w:t>
      </w:r>
    </w:p>
    <w:p w14:paraId="3A66E266" w14:textId="77777777" w:rsidR="00D8198A" w:rsidRDefault="00D8198A">
      <w:pPr>
        <w:pStyle w:val="BodyText"/>
      </w:pPr>
    </w:p>
    <w:p w14:paraId="18083FE5" w14:textId="77777777" w:rsidR="00D8198A" w:rsidRDefault="007D2284">
      <w:pPr>
        <w:pStyle w:val="ListParagraph"/>
        <w:numPr>
          <w:ilvl w:val="3"/>
          <w:numId w:val="4"/>
        </w:numPr>
        <w:tabs>
          <w:tab w:val="left" w:pos="3720"/>
        </w:tabs>
        <w:ind w:left="3719" w:right="745"/>
        <w:rPr>
          <w:sz w:val="24"/>
        </w:rPr>
      </w:pPr>
      <w:r>
        <w:rPr>
          <w:sz w:val="24"/>
        </w:rPr>
        <w:t xml:space="preserve">Up to three credits of Level II courses in English/Language Arts, Mathematics, Natural Science, Social Science, Foreign Language, or </w:t>
      </w:r>
      <w:r>
        <w:rPr>
          <w:spacing w:val="-4"/>
          <w:sz w:val="24"/>
        </w:rPr>
        <w:t xml:space="preserve">Fine </w:t>
      </w:r>
      <w:r>
        <w:rPr>
          <w:sz w:val="24"/>
        </w:rPr>
        <w:t>Arts; Level III courses in any discipline; or Dual Enrollment courses for which both high school and postsecondary credit is</w:t>
      </w:r>
      <w:r>
        <w:rPr>
          <w:spacing w:val="-3"/>
          <w:sz w:val="24"/>
        </w:rPr>
        <w:t xml:space="preserve"> </w:t>
      </w:r>
      <w:r>
        <w:rPr>
          <w:sz w:val="24"/>
        </w:rPr>
        <w:t>awarded.</w:t>
      </w:r>
    </w:p>
    <w:p w14:paraId="0F87E9B2" w14:textId="77777777" w:rsidR="00D8198A" w:rsidRDefault="007D2284">
      <w:pPr>
        <w:pStyle w:val="ListParagraph"/>
        <w:numPr>
          <w:ilvl w:val="3"/>
          <w:numId w:val="4"/>
        </w:numPr>
        <w:tabs>
          <w:tab w:val="left" w:pos="3721"/>
        </w:tabs>
        <w:ind w:right="806"/>
        <w:rPr>
          <w:sz w:val="24"/>
        </w:rPr>
      </w:pPr>
      <w:r>
        <w:rPr>
          <w:sz w:val="24"/>
        </w:rPr>
        <w:t>Up to two credits in courses grade nine or above in ROTC/Military</w:t>
      </w:r>
      <w:r>
        <w:rPr>
          <w:spacing w:val="-1"/>
          <w:sz w:val="24"/>
        </w:rPr>
        <w:t xml:space="preserve"> </w:t>
      </w:r>
      <w:r>
        <w:rPr>
          <w:sz w:val="24"/>
        </w:rPr>
        <w:t>Training.</w:t>
      </w:r>
    </w:p>
    <w:p w14:paraId="6C1CF94C" w14:textId="77777777" w:rsidR="00D8198A" w:rsidRDefault="007D2284">
      <w:pPr>
        <w:pStyle w:val="ListParagraph"/>
        <w:numPr>
          <w:ilvl w:val="3"/>
          <w:numId w:val="4"/>
        </w:numPr>
        <w:tabs>
          <w:tab w:val="left" w:pos="3720"/>
        </w:tabs>
        <w:ind w:left="3719" w:right="967"/>
        <w:rPr>
          <w:sz w:val="24"/>
        </w:rPr>
      </w:pPr>
      <w:r>
        <w:rPr>
          <w:sz w:val="24"/>
        </w:rPr>
        <w:t>Up to two credits of equivalent courses in any d discipline as determined by the Articulation Coordinating Committee and listed in the</w:t>
      </w:r>
      <w:r>
        <w:rPr>
          <w:spacing w:val="-21"/>
          <w:sz w:val="24"/>
        </w:rPr>
        <w:t xml:space="preserve"> </w:t>
      </w:r>
      <w:r>
        <w:rPr>
          <w:sz w:val="24"/>
        </w:rPr>
        <w:t>Florida Counseling for Future Education</w:t>
      </w:r>
      <w:r>
        <w:rPr>
          <w:spacing w:val="-4"/>
          <w:sz w:val="24"/>
        </w:rPr>
        <w:t xml:space="preserve"> </w:t>
      </w:r>
      <w:r>
        <w:rPr>
          <w:sz w:val="24"/>
        </w:rPr>
        <w:t>Handbook.</w:t>
      </w:r>
    </w:p>
    <w:p w14:paraId="2E94DC2F" w14:textId="77777777" w:rsidR="00D8198A" w:rsidRDefault="00D8198A">
      <w:pPr>
        <w:pStyle w:val="BodyText"/>
        <w:spacing w:before="11"/>
        <w:rPr>
          <w:sz w:val="23"/>
        </w:rPr>
      </w:pPr>
    </w:p>
    <w:p w14:paraId="1FCFCF6B" w14:textId="77777777" w:rsidR="00D8198A" w:rsidRDefault="007D2284">
      <w:pPr>
        <w:pStyle w:val="ListParagraph"/>
        <w:numPr>
          <w:ilvl w:val="2"/>
          <w:numId w:val="4"/>
        </w:numPr>
        <w:tabs>
          <w:tab w:val="left" w:pos="3000"/>
        </w:tabs>
        <w:ind w:left="2999" w:right="712"/>
        <w:jc w:val="left"/>
        <w:rPr>
          <w:sz w:val="24"/>
        </w:rPr>
      </w:pPr>
      <w:r>
        <w:rPr>
          <w:sz w:val="24"/>
        </w:rPr>
        <w:t>Students applying for admissions who have less than a “B” average in the required academic units described above must present a combination of high school recalculated core academic GPA and admissions test scores as indicated on the list below. Academic eligibility for admission will be determined according to the following Admissions Sliding</w:t>
      </w:r>
      <w:r>
        <w:rPr>
          <w:spacing w:val="-1"/>
          <w:sz w:val="24"/>
        </w:rPr>
        <w:t xml:space="preserve"> </w:t>
      </w:r>
      <w:r>
        <w:rPr>
          <w:sz w:val="24"/>
        </w:rPr>
        <w:t>Scale:</w:t>
      </w:r>
    </w:p>
    <w:p w14:paraId="0254F545" w14:textId="77777777" w:rsidR="00D8198A" w:rsidRDefault="00D8198A">
      <w:pPr>
        <w:pStyle w:val="BodyText"/>
        <w:spacing w:before="3"/>
      </w:pPr>
    </w:p>
    <w:tbl>
      <w:tblPr>
        <w:tblStyle w:val="TableGrid"/>
        <w:tblW w:w="0" w:type="auto"/>
        <w:jc w:val="center"/>
        <w:tblLayout w:type="fixed"/>
        <w:tblLook w:val="01E0" w:firstRow="1" w:lastRow="1" w:firstColumn="1" w:lastColumn="1" w:noHBand="0" w:noVBand="0"/>
      </w:tblPr>
      <w:tblGrid>
        <w:gridCol w:w="1885"/>
        <w:gridCol w:w="2250"/>
        <w:gridCol w:w="2880"/>
        <w:gridCol w:w="1620"/>
      </w:tblGrid>
      <w:tr w:rsidR="00D8198A" w14:paraId="43408871" w14:textId="77777777" w:rsidTr="007D2284">
        <w:trPr>
          <w:trHeight w:val="1051"/>
          <w:tblHeader/>
          <w:jc w:val="center"/>
        </w:trPr>
        <w:tc>
          <w:tcPr>
            <w:tcW w:w="1885" w:type="dxa"/>
          </w:tcPr>
          <w:p w14:paraId="105210CA" w14:textId="77777777" w:rsidR="00D8198A" w:rsidRDefault="007D2284" w:rsidP="007D2284">
            <w:pPr>
              <w:pStyle w:val="TableParagraph"/>
              <w:spacing w:line="252" w:lineRule="exact"/>
              <w:jc w:val="center"/>
              <w:rPr>
                <w:b/>
              </w:rPr>
            </w:pPr>
            <w:r>
              <w:rPr>
                <w:b/>
              </w:rPr>
              <w:t>High School Grade Point Average</w:t>
            </w:r>
          </w:p>
        </w:tc>
        <w:tc>
          <w:tcPr>
            <w:tcW w:w="2250" w:type="dxa"/>
          </w:tcPr>
          <w:p w14:paraId="375ADC1E" w14:textId="77777777" w:rsidR="00D8198A" w:rsidRDefault="007D2284" w:rsidP="007D2284">
            <w:pPr>
              <w:pStyle w:val="TableParagraph"/>
              <w:spacing w:line="252" w:lineRule="exact"/>
              <w:ind w:left="105"/>
              <w:jc w:val="center"/>
              <w:rPr>
                <w:b/>
              </w:rPr>
            </w:pPr>
            <w:r>
              <w:rPr>
                <w:b/>
              </w:rPr>
              <w:t>Recentered SAT</w:t>
            </w:r>
          </w:p>
        </w:tc>
        <w:tc>
          <w:tcPr>
            <w:tcW w:w="2880" w:type="dxa"/>
          </w:tcPr>
          <w:p w14:paraId="33BB475C" w14:textId="77777777" w:rsidR="00D8198A" w:rsidRDefault="007D2284" w:rsidP="007D2284">
            <w:pPr>
              <w:pStyle w:val="TableParagraph"/>
              <w:spacing w:line="240" w:lineRule="auto"/>
              <w:ind w:left="0" w:right="206"/>
              <w:jc w:val="center"/>
              <w:rPr>
                <w:b/>
              </w:rPr>
            </w:pPr>
            <w:r>
              <w:rPr>
                <w:b/>
              </w:rPr>
              <w:t>Critical Reading &amp; Mathematics of SAT Reasoning Test</w:t>
            </w:r>
          </w:p>
        </w:tc>
        <w:tc>
          <w:tcPr>
            <w:tcW w:w="1620" w:type="dxa"/>
          </w:tcPr>
          <w:p w14:paraId="32AD73CF" w14:textId="77777777" w:rsidR="00D8198A" w:rsidRDefault="007D2284" w:rsidP="007D2284">
            <w:pPr>
              <w:pStyle w:val="TableParagraph"/>
              <w:spacing w:line="252" w:lineRule="exact"/>
              <w:ind w:left="106"/>
              <w:jc w:val="center"/>
              <w:rPr>
                <w:b/>
              </w:rPr>
            </w:pPr>
            <w:r>
              <w:rPr>
                <w:b/>
              </w:rPr>
              <w:t>ACT</w:t>
            </w:r>
          </w:p>
        </w:tc>
      </w:tr>
      <w:tr w:rsidR="00D8198A" w14:paraId="4927C838" w14:textId="77777777" w:rsidTr="007D2284">
        <w:trPr>
          <w:trHeight w:val="291"/>
          <w:jc w:val="center"/>
        </w:trPr>
        <w:tc>
          <w:tcPr>
            <w:tcW w:w="1885" w:type="dxa"/>
          </w:tcPr>
          <w:p w14:paraId="1DBF3264" w14:textId="77777777" w:rsidR="00D8198A" w:rsidRDefault="007D2284">
            <w:pPr>
              <w:pStyle w:val="TableParagraph"/>
            </w:pPr>
            <w:r>
              <w:t>2.0</w:t>
            </w:r>
          </w:p>
        </w:tc>
        <w:tc>
          <w:tcPr>
            <w:tcW w:w="2250" w:type="dxa"/>
          </w:tcPr>
          <w:p w14:paraId="4AFCE9EA" w14:textId="77777777" w:rsidR="00D8198A" w:rsidRDefault="007D2284">
            <w:pPr>
              <w:pStyle w:val="TableParagraph"/>
            </w:pPr>
            <w:r>
              <w:t>1140</w:t>
            </w:r>
          </w:p>
        </w:tc>
        <w:tc>
          <w:tcPr>
            <w:tcW w:w="2880" w:type="dxa"/>
          </w:tcPr>
          <w:p w14:paraId="63A689B3" w14:textId="77777777" w:rsidR="00D8198A" w:rsidRDefault="007D2284">
            <w:pPr>
              <w:pStyle w:val="TableParagraph"/>
            </w:pPr>
            <w:r>
              <w:t>1140</w:t>
            </w:r>
          </w:p>
        </w:tc>
        <w:tc>
          <w:tcPr>
            <w:tcW w:w="1620" w:type="dxa"/>
          </w:tcPr>
          <w:p w14:paraId="06FD941D" w14:textId="77777777" w:rsidR="00D8198A" w:rsidRDefault="007D2284">
            <w:pPr>
              <w:pStyle w:val="TableParagraph"/>
              <w:ind w:left="106"/>
            </w:pPr>
            <w:r>
              <w:t>25</w:t>
            </w:r>
          </w:p>
        </w:tc>
      </w:tr>
      <w:tr w:rsidR="00D8198A" w14:paraId="0F788D84" w14:textId="77777777" w:rsidTr="007D2284">
        <w:trPr>
          <w:trHeight w:val="292"/>
          <w:jc w:val="center"/>
        </w:trPr>
        <w:tc>
          <w:tcPr>
            <w:tcW w:w="1885" w:type="dxa"/>
          </w:tcPr>
          <w:p w14:paraId="1638E237" w14:textId="77777777" w:rsidR="00D8198A" w:rsidRDefault="007D2284">
            <w:pPr>
              <w:pStyle w:val="TableParagraph"/>
            </w:pPr>
            <w:r>
              <w:t>2.1</w:t>
            </w:r>
          </w:p>
        </w:tc>
        <w:tc>
          <w:tcPr>
            <w:tcW w:w="2250" w:type="dxa"/>
          </w:tcPr>
          <w:p w14:paraId="1F4B119A" w14:textId="77777777" w:rsidR="00D8198A" w:rsidRDefault="007D2284">
            <w:pPr>
              <w:pStyle w:val="TableParagraph"/>
            </w:pPr>
            <w:r>
              <w:t>1110</w:t>
            </w:r>
          </w:p>
        </w:tc>
        <w:tc>
          <w:tcPr>
            <w:tcW w:w="2880" w:type="dxa"/>
          </w:tcPr>
          <w:p w14:paraId="1DEF0E93" w14:textId="77777777" w:rsidR="00D8198A" w:rsidRDefault="007D2284">
            <w:pPr>
              <w:pStyle w:val="TableParagraph"/>
            </w:pPr>
            <w:r>
              <w:t>1110</w:t>
            </w:r>
          </w:p>
        </w:tc>
        <w:tc>
          <w:tcPr>
            <w:tcW w:w="1620" w:type="dxa"/>
          </w:tcPr>
          <w:p w14:paraId="770ED7C5" w14:textId="77777777" w:rsidR="00D8198A" w:rsidRDefault="007D2284">
            <w:pPr>
              <w:pStyle w:val="TableParagraph"/>
              <w:ind w:left="106"/>
            </w:pPr>
            <w:r>
              <w:t>24</w:t>
            </w:r>
          </w:p>
        </w:tc>
      </w:tr>
      <w:tr w:rsidR="00D8198A" w14:paraId="6F97FB2A" w14:textId="77777777" w:rsidTr="007D2284">
        <w:trPr>
          <w:trHeight w:val="291"/>
          <w:jc w:val="center"/>
        </w:trPr>
        <w:tc>
          <w:tcPr>
            <w:tcW w:w="1885" w:type="dxa"/>
          </w:tcPr>
          <w:p w14:paraId="1ED9B8A1" w14:textId="77777777" w:rsidR="00D8198A" w:rsidRDefault="007D2284">
            <w:pPr>
              <w:pStyle w:val="TableParagraph"/>
            </w:pPr>
            <w:r>
              <w:t>2.2</w:t>
            </w:r>
          </w:p>
        </w:tc>
        <w:tc>
          <w:tcPr>
            <w:tcW w:w="2250" w:type="dxa"/>
          </w:tcPr>
          <w:p w14:paraId="218CAA65" w14:textId="77777777" w:rsidR="00D8198A" w:rsidRDefault="007D2284">
            <w:pPr>
              <w:pStyle w:val="TableParagraph"/>
            </w:pPr>
            <w:r>
              <w:t>1090</w:t>
            </w:r>
          </w:p>
        </w:tc>
        <w:tc>
          <w:tcPr>
            <w:tcW w:w="2880" w:type="dxa"/>
          </w:tcPr>
          <w:p w14:paraId="2C71971F" w14:textId="77777777" w:rsidR="00D8198A" w:rsidRDefault="007D2284">
            <w:pPr>
              <w:pStyle w:val="TableParagraph"/>
            </w:pPr>
            <w:r>
              <w:t>1090</w:t>
            </w:r>
          </w:p>
        </w:tc>
        <w:tc>
          <w:tcPr>
            <w:tcW w:w="1620" w:type="dxa"/>
          </w:tcPr>
          <w:p w14:paraId="1CBF3D1B" w14:textId="77777777" w:rsidR="00D8198A" w:rsidRDefault="007D2284">
            <w:pPr>
              <w:pStyle w:val="TableParagraph"/>
              <w:ind w:left="106"/>
            </w:pPr>
            <w:r>
              <w:t>24</w:t>
            </w:r>
          </w:p>
        </w:tc>
      </w:tr>
      <w:tr w:rsidR="00D8198A" w14:paraId="7174196A" w14:textId="77777777" w:rsidTr="007D2284">
        <w:trPr>
          <w:trHeight w:val="292"/>
          <w:jc w:val="center"/>
        </w:trPr>
        <w:tc>
          <w:tcPr>
            <w:tcW w:w="1885" w:type="dxa"/>
          </w:tcPr>
          <w:p w14:paraId="348B699A" w14:textId="77777777" w:rsidR="00D8198A" w:rsidRDefault="007D2284">
            <w:pPr>
              <w:pStyle w:val="TableParagraph"/>
            </w:pPr>
            <w:r>
              <w:t>2.3</w:t>
            </w:r>
          </w:p>
        </w:tc>
        <w:tc>
          <w:tcPr>
            <w:tcW w:w="2250" w:type="dxa"/>
          </w:tcPr>
          <w:p w14:paraId="635F0FC9" w14:textId="77777777" w:rsidR="00D8198A" w:rsidRDefault="007D2284">
            <w:pPr>
              <w:pStyle w:val="TableParagraph"/>
            </w:pPr>
            <w:r>
              <w:t>1060</w:t>
            </w:r>
          </w:p>
        </w:tc>
        <w:tc>
          <w:tcPr>
            <w:tcW w:w="2880" w:type="dxa"/>
          </w:tcPr>
          <w:p w14:paraId="50ED7FDD" w14:textId="77777777" w:rsidR="00D8198A" w:rsidRDefault="007D2284">
            <w:pPr>
              <w:pStyle w:val="TableParagraph"/>
            </w:pPr>
            <w:r>
              <w:t>1060</w:t>
            </w:r>
          </w:p>
        </w:tc>
        <w:tc>
          <w:tcPr>
            <w:tcW w:w="1620" w:type="dxa"/>
          </w:tcPr>
          <w:p w14:paraId="424F2610" w14:textId="77777777" w:rsidR="00D8198A" w:rsidRDefault="007D2284">
            <w:pPr>
              <w:pStyle w:val="TableParagraph"/>
              <w:ind w:left="106"/>
            </w:pPr>
            <w:r>
              <w:t>23</w:t>
            </w:r>
          </w:p>
        </w:tc>
      </w:tr>
      <w:tr w:rsidR="00D8198A" w14:paraId="38589520" w14:textId="77777777" w:rsidTr="007D2284">
        <w:trPr>
          <w:trHeight w:val="291"/>
          <w:jc w:val="center"/>
        </w:trPr>
        <w:tc>
          <w:tcPr>
            <w:tcW w:w="1885" w:type="dxa"/>
          </w:tcPr>
          <w:p w14:paraId="0DFFDD0A" w14:textId="77777777" w:rsidR="00D8198A" w:rsidRDefault="007D2284">
            <w:pPr>
              <w:pStyle w:val="TableParagraph"/>
            </w:pPr>
            <w:r>
              <w:t>2.4</w:t>
            </w:r>
          </w:p>
        </w:tc>
        <w:tc>
          <w:tcPr>
            <w:tcW w:w="2250" w:type="dxa"/>
          </w:tcPr>
          <w:p w14:paraId="2BCF80E8" w14:textId="77777777" w:rsidR="00D8198A" w:rsidRDefault="007D2284">
            <w:pPr>
              <w:pStyle w:val="TableParagraph"/>
            </w:pPr>
            <w:r>
              <w:t>1030</w:t>
            </w:r>
          </w:p>
        </w:tc>
        <w:tc>
          <w:tcPr>
            <w:tcW w:w="2880" w:type="dxa"/>
          </w:tcPr>
          <w:p w14:paraId="52910791" w14:textId="77777777" w:rsidR="00D8198A" w:rsidRDefault="007D2284">
            <w:pPr>
              <w:pStyle w:val="TableParagraph"/>
            </w:pPr>
            <w:r>
              <w:t>1030</w:t>
            </w:r>
          </w:p>
        </w:tc>
        <w:tc>
          <w:tcPr>
            <w:tcW w:w="1620" w:type="dxa"/>
          </w:tcPr>
          <w:p w14:paraId="20DC23DD" w14:textId="77777777" w:rsidR="00D8198A" w:rsidRDefault="007D2284">
            <w:pPr>
              <w:pStyle w:val="TableParagraph"/>
              <w:ind w:left="106"/>
            </w:pPr>
            <w:r>
              <w:t>22</w:t>
            </w:r>
          </w:p>
        </w:tc>
      </w:tr>
      <w:tr w:rsidR="00D8198A" w14:paraId="2D34E519" w14:textId="77777777" w:rsidTr="007D2284">
        <w:trPr>
          <w:trHeight w:val="292"/>
          <w:jc w:val="center"/>
        </w:trPr>
        <w:tc>
          <w:tcPr>
            <w:tcW w:w="1885" w:type="dxa"/>
          </w:tcPr>
          <w:p w14:paraId="395DBD2C" w14:textId="77777777" w:rsidR="00D8198A" w:rsidRDefault="007D2284">
            <w:pPr>
              <w:pStyle w:val="TableParagraph"/>
            </w:pPr>
            <w:r>
              <w:t>2.5</w:t>
            </w:r>
          </w:p>
        </w:tc>
        <w:tc>
          <w:tcPr>
            <w:tcW w:w="2250" w:type="dxa"/>
          </w:tcPr>
          <w:p w14:paraId="5C2F24F0" w14:textId="77777777" w:rsidR="00D8198A" w:rsidRDefault="007D2284">
            <w:pPr>
              <w:pStyle w:val="TableParagraph"/>
            </w:pPr>
            <w:r>
              <w:t>1010</w:t>
            </w:r>
          </w:p>
        </w:tc>
        <w:tc>
          <w:tcPr>
            <w:tcW w:w="2880" w:type="dxa"/>
          </w:tcPr>
          <w:p w14:paraId="17A8F0DE" w14:textId="77777777" w:rsidR="00D8198A" w:rsidRDefault="007D2284">
            <w:pPr>
              <w:pStyle w:val="TableParagraph"/>
            </w:pPr>
            <w:r>
              <w:t>1010</w:t>
            </w:r>
          </w:p>
        </w:tc>
        <w:tc>
          <w:tcPr>
            <w:tcW w:w="1620" w:type="dxa"/>
          </w:tcPr>
          <w:p w14:paraId="472D3AC8" w14:textId="77777777" w:rsidR="00D8198A" w:rsidRDefault="007D2284">
            <w:pPr>
              <w:pStyle w:val="TableParagraph"/>
              <w:ind w:left="106"/>
            </w:pPr>
            <w:r>
              <w:t>21</w:t>
            </w:r>
          </w:p>
        </w:tc>
      </w:tr>
      <w:tr w:rsidR="00D8198A" w14:paraId="5FA4D9E7" w14:textId="77777777" w:rsidTr="007D2284">
        <w:trPr>
          <w:trHeight w:val="291"/>
          <w:jc w:val="center"/>
        </w:trPr>
        <w:tc>
          <w:tcPr>
            <w:tcW w:w="1885" w:type="dxa"/>
          </w:tcPr>
          <w:p w14:paraId="6145ACC6" w14:textId="77777777" w:rsidR="00D8198A" w:rsidRDefault="007D2284">
            <w:pPr>
              <w:pStyle w:val="TableParagraph"/>
            </w:pPr>
            <w:r>
              <w:t>2.6</w:t>
            </w:r>
          </w:p>
        </w:tc>
        <w:tc>
          <w:tcPr>
            <w:tcW w:w="2250" w:type="dxa"/>
          </w:tcPr>
          <w:p w14:paraId="490206B7" w14:textId="77777777" w:rsidR="00D8198A" w:rsidRDefault="007D2284">
            <w:pPr>
              <w:pStyle w:val="TableParagraph"/>
            </w:pPr>
            <w:r>
              <w:t>1000</w:t>
            </w:r>
          </w:p>
        </w:tc>
        <w:tc>
          <w:tcPr>
            <w:tcW w:w="2880" w:type="dxa"/>
          </w:tcPr>
          <w:p w14:paraId="6DC86BB3" w14:textId="77777777" w:rsidR="00D8198A" w:rsidRDefault="007D2284">
            <w:pPr>
              <w:pStyle w:val="TableParagraph"/>
            </w:pPr>
            <w:r>
              <w:t>1000</w:t>
            </w:r>
          </w:p>
        </w:tc>
        <w:tc>
          <w:tcPr>
            <w:tcW w:w="1620" w:type="dxa"/>
          </w:tcPr>
          <w:p w14:paraId="3CD8AE55" w14:textId="77777777" w:rsidR="00D8198A" w:rsidRDefault="007D2284">
            <w:pPr>
              <w:pStyle w:val="TableParagraph"/>
              <w:ind w:left="106"/>
            </w:pPr>
            <w:r>
              <w:t>21</w:t>
            </w:r>
          </w:p>
        </w:tc>
      </w:tr>
      <w:tr w:rsidR="00D8198A" w14:paraId="12A29AE3" w14:textId="77777777" w:rsidTr="007D2284">
        <w:trPr>
          <w:trHeight w:val="291"/>
          <w:jc w:val="center"/>
        </w:trPr>
        <w:tc>
          <w:tcPr>
            <w:tcW w:w="1885" w:type="dxa"/>
          </w:tcPr>
          <w:p w14:paraId="524869C1" w14:textId="77777777" w:rsidR="00D8198A" w:rsidRDefault="007D2284">
            <w:pPr>
              <w:pStyle w:val="TableParagraph"/>
            </w:pPr>
            <w:r>
              <w:t>2.7</w:t>
            </w:r>
          </w:p>
        </w:tc>
        <w:tc>
          <w:tcPr>
            <w:tcW w:w="2250" w:type="dxa"/>
          </w:tcPr>
          <w:p w14:paraId="3F0DEE1A" w14:textId="77777777" w:rsidR="00D8198A" w:rsidRDefault="007D2284">
            <w:pPr>
              <w:pStyle w:val="TableParagraph"/>
            </w:pPr>
            <w:r>
              <w:t>990</w:t>
            </w:r>
          </w:p>
        </w:tc>
        <w:tc>
          <w:tcPr>
            <w:tcW w:w="2880" w:type="dxa"/>
          </w:tcPr>
          <w:p w14:paraId="14741EE2" w14:textId="77777777" w:rsidR="00D8198A" w:rsidRDefault="007D2284">
            <w:pPr>
              <w:pStyle w:val="TableParagraph"/>
            </w:pPr>
            <w:r>
              <w:t>990</w:t>
            </w:r>
          </w:p>
        </w:tc>
        <w:tc>
          <w:tcPr>
            <w:tcW w:w="1620" w:type="dxa"/>
          </w:tcPr>
          <w:p w14:paraId="45D189DC" w14:textId="77777777" w:rsidR="00D8198A" w:rsidRDefault="007D2284">
            <w:pPr>
              <w:pStyle w:val="TableParagraph"/>
              <w:ind w:left="106"/>
            </w:pPr>
            <w:r>
              <w:t>21</w:t>
            </w:r>
          </w:p>
        </w:tc>
      </w:tr>
      <w:tr w:rsidR="00D8198A" w14:paraId="118D93B0" w14:textId="77777777" w:rsidTr="007D2284">
        <w:trPr>
          <w:trHeight w:val="291"/>
          <w:jc w:val="center"/>
        </w:trPr>
        <w:tc>
          <w:tcPr>
            <w:tcW w:w="1885" w:type="dxa"/>
          </w:tcPr>
          <w:p w14:paraId="031CA167" w14:textId="77777777" w:rsidR="00D8198A" w:rsidRDefault="007D2284">
            <w:pPr>
              <w:pStyle w:val="TableParagraph"/>
            </w:pPr>
            <w:r>
              <w:t>2.8</w:t>
            </w:r>
          </w:p>
        </w:tc>
        <w:tc>
          <w:tcPr>
            <w:tcW w:w="2250" w:type="dxa"/>
          </w:tcPr>
          <w:p w14:paraId="7C68A2F6" w14:textId="77777777" w:rsidR="00D8198A" w:rsidRDefault="007D2284">
            <w:pPr>
              <w:pStyle w:val="TableParagraph"/>
            </w:pPr>
            <w:r>
              <w:t>980</w:t>
            </w:r>
          </w:p>
        </w:tc>
        <w:tc>
          <w:tcPr>
            <w:tcW w:w="2880" w:type="dxa"/>
          </w:tcPr>
          <w:p w14:paraId="5540C090" w14:textId="77777777" w:rsidR="00D8198A" w:rsidRDefault="007D2284">
            <w:pPr>
              <w:pStyle w:val="TableParagraph"/>
            </w:pPr>
            <w:r>
              <w:t>980</w:t>
            </w:r>
          </w:p>
        </w:tc>
        <w:tc>
          <w:tcPr>
            <w:tcW w:w="1620" w:type="dxa"/>
          </w:tcPr>
          <w:p w14:paraId="30283532" w14:textId="77777777" w:rsidR="00D8198A" w:rsidRDefault="007D2284">
            <w:pPr>
              <w:pStyle w:val="TableParagraph"/>
              <w:ind w:left="106"/>
            </w:pPr>
            <w:r>
              <w:t>21</w:t>
            </w:r>
          </w:p>
        </w:tc>
      </w:tr>
      <w:tr w:rsidR="007D2284" w14:paraId="21AD9C5B" w14:textId="77777777" w:rsidTr="007D2284">
        <w:trPr>
          <w:trHeight w:val="291"/>
          <w:jc w:val="center"/>
        </w:trPr>
        <w:tc>
          <w:tcPr>
            <w:tcW w:w="1885" w:type="dxa"/>
          </w:tcPr>
          <w:p w14:paraId="7F677637" w14:textId="77777777" w:rsidR="007D2284" w:rsidRDefault="007D2284" w:rsidP="007D2284">
            <w:pPr>
              <w:pStyle w:val="TableParagraph"/>
              <w:spacing w:line="251" w:lineRule="exact"/>
            </w:pPr>
            <w:r>
              <w:lastRenderedPageBreak/>
              <w:t>2.9</w:t>
            </w:r>
          </w:p>
        </w:tc>
        <w:tc>
          <w:tcPr>
            <w:tcW w:w="2250" w:type="dxa"/>
          </w:tcPr>
          <w:p w14:paraId="3F2F0D6C" w14:textId="77777777" w:rsidR="007D2284" w:rsidRDefault="007D2284" w:rsidP="007D2284">
            <w:pPr>
              <w:pStyle w:val="TableParagraph"/>
              <w:spacing w:line="251" w:lineRule="exact"/>
            </w:pPr>
            <w:r>
              <w:t>970</w:t>
            </w:r>
          </w:p>
        </w:tc>
        <w:tc>
          <w:tcPr>
            <w:tcW w:w="2880" w:type="dxa"/>
          </w:tcPr>
          <w:p w14:paraId="0B22C260" w14:textId="77777777" w:rsidR="007D2284" w:rsidRDefault="007D2284" w:rsidP="007D2284">
            <w:pPr>
              <w:pStyle w:val="TableParagraph"/>
              <w:spacing w:line="251" w:lineRule="exact"/>
            </w:pPr>
            <w:r>
              <w:t>970</w:t>
            </w:r>
          </w:p>
        </w:tc>
        <w:tc>
          <w:tcPr>
            <w:tcW w:w="1620" w:type="dxa"/>
          </w:tcPr>
          <w:p w14:paraId="4F87A40E" w14:textId="77777777" w:rsidR="007D2284" w:rsidRDefault="007D2284" w:rsidP="007D2284">
            <w:pPr>
              <w:pStyle w:val="TableParagraph"/>
              <w:spacing w:line="251" w:lineRule="exact"/>
              <w:ind w:left="106"/>
            </w:pPr>
            <w:r>
              <w:t>20</w:t>
            </w:r>
          </w:p>
        </w:tc>
      </w:tr>
    </w:tbl>
    <w:p w14:paraId="1C541EC9" w14:textId="77777777" w:rsidR="00D8198A" w:rsidRDefault="00D8198A">
      <w:pPr>
        <w:pStyle w:val="BodyText"/>
        <w:spacing w:before="10"/>
        <w:rPr>
          <w:sz w:val="15"/>
        </w:rPr>
      </w:pPr>
    </w:p>
    <w:p w14:paraId="622DC2AF" w14:textId="77777777" w:rsidR="00D8198A" w:rsidRDefault="007D2284">
      <w:pPr>
        <w:pStyle w:val="ListParagraph"/>
        <w:numPr>
          <w:ilvl w:val="2"/>
          <w:numId w:val="4"/>
        </w:numPr>
        <w:tabs>
          <w:tab w:val="left" w:pos="3001"/>
        </w:tabs>
        <w:spacing w:before="90"/>
        <w:ind w:right="666" w:hanging="300"/>
        <w:jc w:val="left"/>
        <w:rPr>
          <w:sz w:val="24"/>
        </w:rPr>
      </w:pPr>
      <w:r>
        <w:rPr>
          <w:sz w:val="24"/>
        </w:rPr>
        <w:t xml:space="preserve">FTICs applying for admissions to the University of North Florida for the summer/fall 2009 term or later must have met the following Admissions Sliding Scale which </w:t>
      </w:r>
      <w:proofErr w:type="gramStart"/>
      <w:r>
        <w:rPr>
          <w:sz w:val="24"/>
        </w:rPr>
        <w:t>takes into account</w:t>
      </w:r>
      <w:proofErr w:type="gramEnd"/>
      <w:r>
        <w:rPr>
          <w:sz w:val="24"/>
        </w:rPr>
        <w:t xml:space="preserve"> the required composite score on the SAT using all three</w:t>
      </w:r>
      <w:r>
        <w:rPr>
          <w:spacing w:val="-2"/>
          <w:sz w:val="24"/>
        </w:rPr>
        <w:t xml:space="preserve"> </w:t>
      </w:r>
      <w:r>
        <w:rPr>
          <w:sz w:val="24"/>
        </w:rPr>
        <w:t>sections:</w:t>
      </w:r>
    </w:p>
    <w:p w14:paraId="1092A039" w14:textId="77777777" w:rsidR="00D8198A" w:rsidRDefault="00D8198A">
      <w:pPr>
        <w:pStyle w:val="BodyText"/>
        <w:rPr>
          <w:sz w:val="20"/>
        </w:rPr>
      </w:pPr>
    </w:p>
    <w:p w14:paraId="64196CB8" w14:textId="77777777" w:rsidR="00D8198A" w:rsidRDefault="00D8198A">
      <w:pPr>
        <w:pStyle w:val="BodyText"/>
        <w:spacing w:before="3"/>
        <w:rPr>
          <w:sz w:val="28"/>
        </w:rPr>
      </w:pPr>
    </w:p>
    <w:tbl>
      <w:tblPr>
        <w:tblStyle w:val="TableGrid"/>
        <w:tblW w:w="0" w:type="auto"/>
        <w:jc w:val="center"/>
        <w:tblLayout w:type="fixed"/>
        <w:tblLook w:val="01E0" w:firstRow="1" w:lastRow="1" w:firstColumn="1" w:lastColumn="1" w:noHBand="0" w:noVBand="0"/>
      </w:tblPr>
      <w:tblGrid>
        <w:gridCol w:w="2695"/>
        <w:gridCol w:w="3330"/>
        <w:gridCol w:w="2430"/>
      </w:tblGrid>
      <w:tr w:rsidR="00D8198A" w14:paraId="593251A7" w14:textId="77777777" w:rsidTr="007D2284">
        <w:trPr>
          <w:trHeight w:val="543"/>
          <w:tblHeader/>
          <w:jc w:val="center"/>
        </w:trPr>
        <w:tc>
          <w:tcPr>
            <w:tcW w:w="2695" w:type="dxa"/>
          </w:tcPr>
          <w:p w14:paraId="3E6CA9A8" w14:textId="77777777" w:rsidR="00D8198A" w:rsidRDefault="007D2284" w:rsidP="007D2284">
            <w:pPr>
              <w:pStyle w:val="TableParagraph"/>
              <w:spacing w:line="251" w:lineRule="exact"/>
              <w:jc w:val="center"/>
              <w:rPr>
                <w:rFonts w:ascii="Arial"/>
                <w:b/>
              </w:rPr>
            </w:pPr>
            <w:r>
              <w:rPr>
                <w:rFonts w:ascii="Arial"/>
                <w:b/>
              </w:rPr>
              <w:t>High School Grade Point Average</w:t>
            </w:r>
          </w:p>
        </w:tc>
        <w:tc>
          <w:tcPr>
            <w:tcW w:w="3330" w:type="dxa"/>
          </w:tcPr>
          <w:p w14:paraId="69B57190" w14:textId="77777777" w:rsidR="00D8198A" w:rsidRDefault="007D2284" w:rsidP="007D2284">
            <w:pPr>
              <w:pStyle w:val="TableParagraph"/>
              <w:spacing w:line="240" w:lineRule="auto"/>
              <w:ind w:right="129" w:firstLine="1"/>
              <w:jc w:val="center"/>
              <w:rPr>
                <w:rFonts w:ascii="Arial"/>
                <w:b/>
              </w:rPr>
            </w:pPr>
            <w:r>
              <w:rPr>
                <w:rFonts w:ascii="Arial"/>
                <w:b/>
              </w:rPr>
              <w:t>SAT Reasoning Test (all three sections)</w:t>
            </w:r>
          </w:p>
        </w:tc>
        <w:tc>
          <w:tcPr>
            <w:tcW w:w="2430" w:type="dxa"/>
          </w:tcPr>
          <w:p w14:paraId="70D291DA" w14:textId="77777777" w:rsidR="00D8198A" w:rsidRDefault="007D2284" w:rsidP="007D2284">
            <w:pPr>
              <w:pStyle w:val="TableParagraph"/>
              <w:spacing w:line="251" w:lineRule="exact"/>
              <w:jc w:val="center"/>
              <w:rPr>
                <w:rFonts w:ascii="Arial"/>
                <w:b/>
              </w:rPr>
            </w:pPr>
            <w:r>
              <w:rPr>
                <w:rFonts w:ascii="Arial"/>
                <w:b/>
              </w:rPr>
              <w:t>ACT</w:t>
            </w:r>
          </w:p>
        </w:tc>
      </w:tr>
      <w:tr w:rsidR="00D8198A" w14:paraId="32801CF7" w14:textId="77777777" w:rsidTr="007D2284">
        <w:trPr>
          <w:trHeight w:val="292"/>
          <w:jc w:val="center"/>
        </w:trPr>
        <w:tc>
          <w:tcPr>
            <w:tcW w:w="2695" w:type="dxa"/>
          </w:tcPr>
          <w:p w14:paraId="7A735E70" w14:textId="77777777" w:rsidR="00D8198A" w:rsidRDefault="007D2284">
            <w:pPr>
              <w:pStyle w:val="TableParagraph"/>
              <w:spacing w:line="251" w:lineRule="exact"/>
              <w:rPr>
                <w:rFonts w:ascii="Arial"/>
              </w:rPr>
            </w:pPr>
            <w:r>
              <w:rPr>
                <w:rFonts w:ascii="Arial"/>
              </w:rPr>
              <w:t>2.0</w:t>
            </w:r>
          </w:p>
        </w:tc>
        <w:tc>
          <w:tcPr>
            <w:tcW w:w="3330" w:type="dxa"/>
          </w:tcPr>
          <w:p w14:paraId="36FAE8AC" w14:textId="77777777" w:rsidR="00D8198A" w:rsidRDefault="007D2284">
            <w:pPr>
              <w:pStyle w:val="TableParagraph"/>
              <w:spacing w:line="251" w:lineRule="exact"/>
              <w:rPr>
                <w:rFonts w:ascii="Arial"/>
              </w:rPr>
            </w:pPr>
            <w:r>
              <w:rPr>
                <w:rFonts w:ascii="Arial"/>
              </w:rPr>
              <w:t>1680</w:t>
            </w:r>
          </w:p>
        </w:tc>
        <w:tc>
          <w:tcPr>
            <w:tcW w:w="2430" w:type="dxa"/>
          </w:tcPr>
          <w:p w14:paraId="52BCDD3C" w14:textId="77777777" w:rsidR="00D8198A" w:rsidRDefault="007D2284">
            <w:pPr>
              <w:pStyle w:val="TableParagraph"/>
              <w:spacing w:line="251" w:lineRule="exact"/>
              <w:rPr>
                <w:rFonts w:ascii="Arial"/>
              </w:rPr>
            </w:pPr>
            <w:r>
              <w:rPr>
                <w:rFonts w:ascii="Arial"/>
              </w:rPr>
              <w:t>25</w:t>
            </w:r>
          </w:p>
        </w:tc>
      </w:tr>
      <w:tr w:rsidR="00D8198A" w14:paraId="51274FB1" w14:textId="77777777" w:rsidTr="007D2284">
        <w:trPr>
          <w:trHeight w:val="292"/>
          <w:jc w:val="center"/>
        </w:trPr>
        <w:tc>
          <w:tcPr>
            <w:tcW w:w="2695" w:type="dxa"/>
          </w:tcPr>
          <w:p w14:paraId="77E40538" w14:textId="77777777" w:rsidR="00D8198A" w:rsidRDefault="007D2284">
            <w:pPr>
              <w:pStyle w:val="TableParagraph"/>
              <w:spacing w:line="251" w:lineRule="exact"/>
              <w:rPr>
                <w:rFonts w:ascii="Arial"/>
              </w:rPr>
            </w:pPr>
            <w:r>
              <w:rPr>
                <w:rFonts w:ascii="Arial"/>
              </w:rPr>
              <w:t>2.1</w:t>
            </w:r>
          </w:p>
        </w:tc>
        <w:tc>
          <w:tcPr>
            <w:tcW w:w="3330" w:type="dxa"/>
          </w:tcPr>
          <w:p w14:paraId="01A93F37" w14:textId="77777777" w:rsidR="00D8198A" w:rsidRDefault="007D2284">
            <w:pPr>
              <w:pStyle w:val="TableParagraph"/>
              <w:spacing w:line="251" w:lineRule="exact"/>
              <w:rPr>
                <w:rFonts w:ascii="Arial"/>
              </w:rPr>
            </w:pPr>
            <w:r>
              <w:rPr>
                <w:rFonts w:ascii="Arial"/>
              </w:rPr>
              <w:t>1620</w:t>
            </w:r>
          </w:p>
        </w:tc>
        <w:tc>
          <w:tcPr>
            <w:tcW w:w="2430" w:type="dxa"/>
          </w:tcPr>
          <w:p w14:paraId="54EADCD9" w14:textId="77777777" w:rsidR="00D8198A" w:rsidRDefault="007D2284">
            <w:pPr>
              <w:pStyle w:val="TableParagraph"/>
              <w:spacing w:line="251" w:lineRule="exact"/>
              <w:rPr>
                <w:rFonts w:ascii="Arial"/>
              </w:rPr>
            </w:pPr>
            <w:r>
              <w:rPr>
                <w:rFonts w:ascii="Arial"/>
              </w:rPr>
              <w:t>24</w:t>
            </w:r>
          </w:p>
        </w:tc>
      </w:tr>
      <w:tr w:rsidR="00D8198A" w14:paraId="30AAA5BD" w14:textId="77777777" w:rsidTr="007D2284">
        <w:trPr>
          <w:trHeight w:val="292"/>
          <w:jc w:val="center"/>
        </w:trPr>
        <w:tc>
          <w:tcPr>
            <w:tcW w:w="2695" w:type="dxa"/>
          </w:tcPr>
          <w:p w14:paraId="6C291CF4" w14:textId="77777777" w:rsidR="00D8198A" w:rsidRDefault="007D2284">
            <w:pPr>
              <w:pStyle w:val="TableParagraph"/>
              <w:spacing w:line="251" w:lineRule="exact"/>
              <w:rPr>
                <w:rFonts w:ascii="Arial"/>
              </w:rPr>
            </w:pPr>
            <w:r>
              <w:rPr>
                <w:rFonts w:ascii="Arial"/>
              </w:rPr>
              <w:t>2.2</w:t>
            </w:r>
          </w:p>
        </w:tc>
        <w:tc>
          <w:tcPr>
            <w:tcW w:w="3330" w:type="dxa"/>
          </w:tcPr>
          <w:p w14:paraId="0048ACD0" w14:textId="77777777" w:rsidR="00D8198A" w:rsidRDefault="007D2284">
            <w:pPr>
              <w:pStyle w:val="TableParagraph"/>
              <w:spacing w:line="251" w:lineRule="exact"/>
              <w:rPr>
                <w:rFonts w:ascii="Arial"/>
              </w:rPr>
            </w:pPr>
            <w:r>
              <w:rPr>
                <w:rFonts w:ascii="Arial"/>
              </w:rPr>
              <w:t>1620</w:t>
            </w:r>
          </w:p>
        </w:tc>
        <w:tc>
          <w:tcPr>
            <w:tcW w:w="2430" w:type="dxa"/>
          </w:tcPr>
          <w:p w14:paraId="7F1A57E3" w14:textId="77777777" w:rsidR="00D8198A" w:rsidRDefault="007D2284">
            <w:pPr>
              <w:pStyle w:val="TableParagraph"/>
              <w:spacing w:line="251" w:lineRule="exact"/>
              <w:rPr>
                <w:rFonts w:ascii="Arial"/>
              </w:rPr>
            </w:pPr>
            <w:r>
              <w:rPr>
                <w:rFonts w:ascii="Arial"/>
              </w:rPr>
              <w:t>24</w:t>
            </w:r>
          </w:p>
        </w:tc>
      </w:tr>
      <w:tr w:rsidR="00D8198A" w14:paraId="66DEC21F" w14:textId="77777777" w:rsidTr="007D2284">
        <w:trPr>
          <w:trHeight w:val="292"/>
          <w:jc w:val="center"/>
        </w:trPr>
        <w:tc>
          <w:tcPr>
            <w:tcW w:w="2695" w:type="dxa"/>
          </w:tcPr>
          <w:p w14:paraId="1DA518B5" w14:textId="77777777" w:rsidR="00D8198A" w:rsidRDefault="007D2284">
            <w:pPr>
              <w:pStyle w:val="TableParagraph"/>
              <w:spacing w:line="251" w:lineRule="exact"/>
              <w:rPr>
                <w:rFonts w:ascii="Arial"/>
              </w:rPr>
            </w:pPr>
            <w:r>
              <w:rPr>
                <w:rFonts w:ascii="Arial"/>
              </w:rPr>
              <w:t>2.3</w:t>
            </w:r>
          </w:p>
        </w:tc>
        <w:tc>
          <w:tcPr>
            <w:tcW w:w="3330" w:type="dxa"/>
          </w:tcPr>
          <w:p w14:paraId="61B19172" w14:textId="77777777" w:rsidR="00D8198A" w:rsidRDefault="007D2284">
            <w:pPr>
              <w:pStyle w:val="TableParagraph"/>
              <w:spacing w:line="251" w:lineRule="exact"/>
              <w:rPr>
                <w:rFonts w:ascii="Arial"/>
              </w:rPr>
            </w:pPr>
            <w:r>
              <w:rPr>
                <w:rFonts w:ascii="Arial"/>
              </w:rPr>
              <w:t>1560</w:t>
            </w:r>
          </w:p>
        </w:tc>
        <w:tc>
          <w:tcPr>
            <w:tcW w:w="2430" w:type="dxa"/>
          </w:tcPr>
          <w:p w14:paraId="7425BD5E" w14:textId="77777777" w:rsidR="00D8198A" w:rsidRDefault="007D2284">
            <w:pPr>
              <w:pStyle w:val="TableParagraph"/>
              <w:spacing w:line="251" w:lineRule="exact"/>
              <w:rPr>
                <w:rFonts w:ascii="Arial"/>
              </w:rPr>
            </w:pPr>
            <w:r>
              <w:rPr>
                <w:rFonts w:ascii="Arial"/>
              </w:rPr>
              <w:t>23</w:t>
            </w:r>
          </w:p>
        </w:tc>
      </w:tr>
      <w:tr w:rsidR="00D8198A" w14:paraId="38AADDD4" w14:textId="77777777" w:rsidTr="007D2284">
        <w:trPr>
          <w:trHeight w:val="291"/>
          <w:jc w:val="center"/>
        </w:trPr>
        <w:tc>
          <w:tcPr>
            <w:tcW w:w="2695" w:type="dxa"/>
          </w:tcPr>
          <w:p w14:paraId="0ACA0C96" w14:textId="77777777" w:rsidR="00D8198A" w:rsidRDefault="007D2284">
            <w:pPr>
              <w:pStyle w:val="TableParagraph"/>
              <w:spacing w:line="251" w:lineRule="exact"/>
              <w:rPr>
                <w:rFonts w:ascii="Arial"/>
              </w:rPr>
            </w:pPr>
            <w:r>
              <w:rPr>
                <w:rFonts w:ascii="Arial"/>
              </w:rPr>
              <w:t>2.4</w:t>
            </w:r>
          </w:p>
        </w:tc>
        <w:tc>
          <w:tcPr>
            <w:tcW w:w="3330" w:type="dxa"/>
          </w:tcPr>
          <w:p w14:paraId="04518A7F" w14:textId="77777777" w:rsidR="00D8198A" w:rsidRDefault="007D2284">
            <w:pPr>
              <w:pStyle w:val="TableParagraph"/>
              <w:spacing w:line="251" w:lineRule="exact"/>
              <w:rPr>
                <w:rFonts w:ascii="Arial"/>
              </w:rPr>
            </w:pPr>
            <w:r>
              <w:rPr>
                <w:rFonts w:ascii="Arial"/>
              </w:rPr>
              <w:t>1510</w:t>
            </w:r>
          </w:p>
        </w:tc>
        <w:tc>
          <w:tcPr>
            <w:tcW w:w="2430" w:type="dxa"/>
          </w:tcPr>
          <w:p w14:paraId="473ADFDC" w14:textId="77777777" w:rsidR="00D8198A" w:rsidRDefault="007D2284">
            <w:pPr>
              <w:pStyle w:val="TableParagraph"/>
              <w:spacing w:line="251" w:lineRule="exact"/>
              <w:rPr>
                <w:rFonts w:ascii="Arial"/>
              </w:rPr>
            </w:pPr>
            <w:r>
              <w:rPr>
                <w:rFonts w:ascii="Arial"/>
              </w:rPr>
              <w:t>22</w:t>
            </w:r>
          </w:p>
        </w:tc>
      </w:tr>
      <w:tr w:rsidR="00D8198A" w14:paraId="034C428D" w14:textId="77777777" w:rsidTr="007D2284">
        <w:trPr>
          <w:trHeight w:val="292"/>
          <w:jc w:val="center"/>
        </w:trPr>
        <w:tc>
          <w:tcPr>
            <w:tcW w:w="2695" w:type="dxa"/>
          </w:tcPr>
          <w:p w14:paraId="0E0CDEDE" w14:textId="77777777" w:rsidR="00D8198A" w:rsidRDefault="007D2284">
            <w:pPr>
              <w:pStyle w:val="TableParagraph"/>
              <w:spacing w:line="251" w:lineRule="exact"/>
              <w:rPr>
                <w:rFonts w:ascii="Arial"/>
              </w:rPr>
            </w:pPr>
            <w:r>
              <w:rPr>
                <w:rFonts w:ascii="Arial"/>
              </w:rPr>
              <w:t>2.5</w:t>
            </w:r>
          </w:p>
        </w:tc>
        <w:tc>
          <w:tcPr>
            <w:tcW w:w="3330" w:type="dxa"/>
          </w:tcPr>
          <w:p w14:paraId="1ECE9DC0" w14:textId="77777777" w:rsidR="00D8198A" w:rsidRDefault="007D2284">
            <w:pPr>
              <w:pStyle w:val="TableParagraph"/>
              <w:spacing w:line="251" w:lineRule="exact"/>
              <w:rPr>
                <w:rFonts w:ascii="Arial"/>
              </w:rPr>
            </w:pPr>
            <w:r>
              <w:rPr>
                <w:rFonts w:ascii="Arial"/>
              </w:rPr>
              <w:t>1450</w:t>
            </w:r>
          </w:p>
        </w:tc>
        <w:tc>
          <w:tcPr>
            <w:tcW w:w="2430" w:type="dxa"/>
          </w:tcPr>
          <w:p w14:paraId="7786A3F1" w14:textId="77777777" w:rsidR="00D8198A" w:rsidRDefault="007D2284">
            <w:pPr>
              <w:pStyle w:val="TableParagraph"/>
              <w:spacing w:line="251" w:lineRule="exact"/>
              <w:rPr>
                <w:rFonts w:ascii="Arial"/>
              </w:rPr>
            </w:pPr>
            <w:r>
              <w:rPr>
                <w:rFonts w:ascii="Arial"/>
              </w:rPr>
              <w:t>21</w:t>
            </w:r>
          </w:p>
        </w:tc>
      </w:tr>
      <w:tr w:rsidR="00D8198A" w14:paraId="512530E5" w14:textId="77777777" w:rsidTr="007D2284">
        <w:trPr>
          <w:trHeight w:val="292"/>
          <w:jc w:val="center"/>
        </w:trPr>
        <w:tc>
          <w:tcPr>
            <w:tcW w:w="2695" w:type="dxa"/>
          </w:tcPr>
          <w:p w14:paraId="1FA1C137" w14:textId="77777777" w:rsidR="00D8198A" w:rsidRDefault="007D2284">
            <w:pPr>
              <w:pStyle w:val="TableParagraph"/>
              <w:spacing w:line="251" w:lineRule="exact"/>
              <w:rPr>
                <w:rFonts w:ascii="Arial"/>
              </w:rPr>
            </w:pPr>
            <w:r>
              <w:rPr>
                <w:rFonts w:ascii="Arial"/>
              </w:rPr>
              <w:t>2.6</w:t>
            </w:r>
          </w:p>
        </w:tc>
        <w:tc>
          <w:tcPr>
            <w:tcW w:w="3330" w:type="dxa"/>
          </w:tcPr>
          <w:p w14:paraId="1B7E11FC" w14:textId="77777777" w:rsidR="00D8198A" w:rsidRDefault="007D2284">
            <w:pPr>
              <w:pStyle w:val="TableParagraph"/>
              <w:spacing w:line="251" w:lineRule="exact"/>
              <w:rPr>
                <w:rFonts w:ascii="Arial"/>
              </w:rPr>
            </w:pPr>
            <w:r>
              <w:rPr>
                <w:rFonts w:ascii="Arial"/>
              </w:rPr>
              <w:t>1450</w:t>
            </w:r>
          </w:p>
        </w:tc>
        <w:tc>
          <w:tcPr>
            <w:tcW w:w="2430" w:type="dxa"/>
          </w:tcPr>
          <w:p w14:paraId="4E84A11A" w14:textId="77777777" w:rsidR="00D8198A" w:rsidRDefault="007D2284">
            <w:pPr>
              <w:pStyle w:val="TableParagraph"/>
              <w:spacing w:line="251" w:lineRule="exact"/>
              <w:rPr>
                <w:rFonts w:ascii="Arial"/>
              </w:rPr>
            </w:pPr>
            <w:r>
              <w:rPr>
                <w:rFonts w:ascii="Arial"/>
              </w:rPr>
              <w:t>21</w:t>
            </w:r>
          </w:p>
        </w:tc>
      </w:tr>
      <w:tr w:rsidR="00D8198A" w14:paraId="711C0535" w14:textId="77777777" w:rsidTr="007D2284">
        <w:trPr>
          <w:trHeight w:val="292"/>
          <w:jc w:val="center"/>
        </w:trPr>
        <w:tc>
          <w:tcPr>
            <w:tcW w:w="2695" w:type="dxa"/>
          </w:tcPr>
          <w:p w14:paraId="1AD1A1DA" w14:textId="77777777" w:rsidR="00D8198A" w:rsidRDefault="007D2284">
            <w:pPr>
              <w:pStyle w:val="TableParagraph"/>
              <w:spacing w:line="251" w:lineRule="exact"/>
              <w:rPr>
                <w:rFonts w:ascii="Arial"/>
              </w:rPr>
            </w:pPr>
            <w:r>
              <w:rPr>
                <w:rFonts w:ascii="Arial"/>
              </w:rPr>
              <w:t>2.7</w:t>
            </w:r>
          </w:p>
        </w:tc>
        <w:tc>
          <w:tcPr>
            <w:tcW w:w="3330" w:type="dxa"/>
          </w:tcPr>
          <w:p w14:paraId="773AE7CE" w14:textId="77777777" w:rsidR="00D8198A" w:rsidRDefault="007D2284">
            <w:pPr>
              <w:pStyle w:val="TableParagraph"/>
              <w:spacing w:line="251" w:lineRule="exact"/>
              <w:rPr>
                <w:rFonts w:ascii="Arial"/>
              </w:rPr>
            </w:pPr>
            <w:r>
              <w:rPr>
                <w:rFonts w:ascii="Arial"/>
              </w:rPr>
              <w:t>1450</w:t>
            </w:r>
          </w:p>
        </w:tc>
        <w:tc>
          <w:tcPr>
            <w:tcW w:w="2430" w:type="dxa"/>
          </w:tcPr>
          <w:p w14:paraId="29DBD235" w14:textId="77777777" w:rsidR="00D8198A" w:rsidRDefault="007D2284">
            <w:pPr>
              <w:pStyle w:val="TableParagraph"/>
              <w:spacing w:line="251" w:lineRule="exact"/>
              <w:rPr>
                <w:rFonts w:ascii="Arial"/>
              </w:rPr>
            </w:pPr>
            <w:r>
              <w:rPr>
                <w:rFonts w:ascii="Arial"/>
              </w:rPr>
              <w:t>21</w:t>
            </w:r>
          </w:p>
        </w:tc>
      </w:tr>
      <w:tr w:rsidR="00D8198A" w14:paraId="1318A8D9" w14:textId="77777777" w:rsidTr="007D2284">
        <w:trPr>
          <w:trHeight w:val="292"/>
          <w:jc w:val="center"/>
        </w:trPr>
        <w:tc>
          <w:tcPr>
            <w:tcW w:w="2695" w:type="dxa"/>
          </w:tcPr>
          <w:p w14:paraId="5B00A6CE" w14:textId="77777777" w:rsidR="00D8198A" w:rsidRDefault="007D2284">
            <w:pPr>
              <w:pStyle w:val="TableParagraph"/>
              <w:spacing w:line="251" w:lineRule="exact"/>
              <w:rPr>
                <w:rFonts w:ascii="Arial"/>
              </w:rPr>
            </w:pPr>
            <w:r>
              <w:rPr>
                <w:rFonts w:ascii="Arial"/>
              </w:rPr>
              <w:t>2.8</w:t>
            </w:r>
          </w:p>
        </w:tc>
        <w:tc>
          <w:tcPr>
            <w:tcW w:w="3330" w:type="dxa"/>
          </w:tcPr>
          <w:p w14:paraId="430C240C" w14:textId="77777777" w:rsidR="00D8198A" w:rsidRDefault="007D2284">
            <w:pPr>
              <w:pStyle w:val="TableParagraph"/>
              <w:spacing w:line="251" w:lineRule="exact"/>
              <w:rPr>
                <w:rFonts w:ascii="Arial"/>
              </w:rPr>
            </w:pPr>
            <w:r>
              <w:rPr>
                <w:rFonts w:ascii="Arial"/>
              </w:rPr>
              <w:t>1450</w:t>
            </w:r>
          </w:p>
        </w:tc>
        <w:tc>
          <w:tcPr>
            <w:tcW w:w="2430" w:type="dxa"/>
          </w:tcPr>
          <w:p w14:paraId="43CFB9D3" w14:textId="77777777" w:rsidR="00D8198A" w:rsidRDefault="007D2284">
            <w:pPr>
              <w:pStyle w:val="TableParagraph"/>
              <w:spacing w:line="251" w:lineRule="exact"/>
              <w:rPr>
                <w:rFonts w:ascii="Arial"/>
              </w:rPr>
            </w:pPr>
            <w:r>
              <w:rPr>
                <w:rFonts w:ascii="Arial"/>
              </w:rPr>
              <w:t>21</w:t>
            </w:r>
          </w:p>
        </w:tc>
      </w:tr>
      <w:tr w:rsidR="00D8198A" w14:paraId="49137BB0" w14:textId="77777777" w:rsidTr="007D2284">
        <w:trPr>
          <w:trHeight w:val="293"/>
          <w:jc w:val="center"/>
        </w:trPr>
        <w:tc>
          <w:tcPr>
            <w:tcW w:w="2695" w:type="dxa"/>
          </w:tcPr>
          <w:p w14:paraId="34125477" w14:textId="77777777" w:rsidR="00D8198A" w:rsidRDefault="007D2284">
            <w:pPr>
              <w:pStyle w:val="TableParagraph"/>
              <w:spacing w:line="251" w:lineRule="exact"/>
              <w:rPr>
                <w:rFonts w:ascii="Arial"/>
              </w:rPr>
            </w:pPr>
            <w:r>
              <w:rPr>
                <w:rFonts w:ascii="Arial"/>
              </w:rPr>
              <w:t>2.9</w:t>
            </w:r>
          </w:p>
        </w:tc>
        <w:tc>
          <w:tcPr>
            <w:tcW w:w="3330" w:type="dxa"/>
          </w:tcPr>
          <w:p w14:paraId="3E3F2595" w14:textId="77777777" w:rsidR="00D8198A" w:rsidRDefault="007D2284">
            <w:pPr>
              <w:pStyle w:val="TableParagraph"/>
              <w:spacing w:line="251" w:lineRule="exact"/>
              <w:rPr>
                <w:rFonts w:ascii="Arial"/>
              </w:rPr>
            </w:pPr>
            <w:r>
              <w:rPr>
                <w:rFonts w:ascii="Arial"/>
              </w:rPr>
              <w:t>1390</w:t>
            </w:r>
          </w:p>
        </w:tc>
        <w:tc>
          <w:tcPr>
            <w:tcW w:w="2430" w:type="dxa"/>
          </w:tcPr>
          <w:p w14:paraId="1791A27E" w14:textId="77777777" w:rsidR="00D8198A" w:rsidRDefault="007D2284">
            <w:pPr>
              <w:pStyle w:val="TableParagraph"/>
              <w:spacing w:line="251" w:lineRule="exact"/>
              <w:rPr>
                <w:rFonts w:ascii="Arial"/>
              </w:rPr>
            </w:pPr>
            <w:r>
              <w:rPr>
                <w:rFonts w:ascii="Arial"/>
              </w:rPr>
              <w:t>20</w:t>
            </w:r>
          </w:p>
        </w:tc>
      </w:tr>
    </w:tbl>
    <w:p w14:paraId="0B7CE675" w14:textId="77777777" w:rsidR="00D8198A" w:rsidRDefault="00D8198A">
      <w:pPr>
        <w:pStyle w:val="BodyText"/>
        <w:spacing w:before="10"/>
        <w:rPr>
          <w:sz w:val="15"/>
        </w:rPr>
      </w:pPr>
    </w:p>
    <w:p w14:paraId="51A1CFF9" w14:textId="77777777" w:rsidR="00D8198A" w:rsidRDefault="007D2284">
      <w:pPr>
        <w:pStyle w:val="ListParagraph"/>
        <w:numPr>
          <w:ilvl w:val="2"/>
          <w:numId w:val="4"/>
        </w:numPr>
        <w:tabs>
          <w:tab w:val="left" w:pos="2821"/>
        </w:tabs>
        <w:spacing w:before="90"/>
        <w:ind w:left="2819" w:right="659" w:hanging="299"/>
        <w:jc w:val="left"/>
        <w:rPr>
          <w:sz w:val="24"/>
        </w:rPr>
      </w:pPr>
      <w:r>
        <w:rPr>
          <w:sz w:val="24"/>
        </w:rPr>
        <w:t>Students applying for admissions must meet the following minimums on the SAT and ACT subsections to be considered for admissions to the University of North</w:t>
      </w:r>
      <w:r>
        <w:rPr>
          <w:spacing w:val="-6"/>
          <w:sz w:val="24"/>
        </w:rPr>
        <w:t xml:space="preserve"> </w:t>
      </w:r>
      <w:r>
        <w:rPr>
          <w:sz w:val="24"/>
        </w:rPr>
        <w:t>Florida.</w:t>
      </w:r>
    </w:p>
    <w:p w14:paraId="47B46982" w14:textId="77777777" w:rsidR="00D8198A" w:rsidRDefault="00D8198A">
      <w:pPr>
        <w:pStyle w:val="BodyText"/>
      </w:pPr>
    </w:p>
    <w:p w14:paraId="6F408933" w14:textId="77777777" w:rsidR="00D8198A" w:rsidRDefault="007D2284">
      <w:pPr>
        <w:pStyle w:val="BodyText"/>
        <w:ind w:left="3360"/>
      </w:pPr>
      <w:r>
        <w:t xml:space="preserve">SAT </w:t>
      </w:r>
      <w:proofErr w:type="spellStart"/>
      <w:r>
        <w:t>subscore</w:t>
      </w:r>
      <w:proofErr w:type="spellEnd"/>
      <w:r>
        <w:t xml:space="preserve"> minimums:</w:t>
      </w:r>
    </w:p>
    <w:p w14:paraId="19DC55BA" w14:textId="77777777" w:rsidR="00D8198A" w:rsidRDefault="007D2284">
      <w:pPr>
        <w:pStyle w:val="ListParagraph"/>
        <w:numPr>
          <w:ilvl w:val="0"/>
          <w:numId w:val="2"/>
        </w:numPr>
        <w:tabs>
          <w:tab w:val="left" w:pos="4440"/>
        </w:tabs>
        <w:jc w:val="left"/>
        <w:rPr>
          <w:sz w:val="24"/>
        </w:rPr>
      </w:pPr>
      <w:r>
        <w:rPr>
          <w:sz w:val="24"/>
        </w:rPr>
        <w:t xml:space="preserve">Critical Reading </w:t>
      </w:r>
      <w:proofErr w:type="spellStart"/>
      <w:r>
        <w:rPr>
          <w:sz w:val="24"/>
        </w:rPr>
        <w:t>Subscore</w:t>
      </w:r>
      <w:proofErr w:type="spellEnd"/>
      <w:r>
        <w:rPr>
          <w:sz w:val="24"/>
        </w:rPr>
        <w:t xml:space="preserve"> minimum:</w:t>
      </w:r>
      <w:r>
        <w:rPr>
          <w:spacing w:val="-1"/>
          <w:sz w:val="24"/>
        </w:rPr>
        <w:t xml:space="preserve"> </w:t>
      </w:r>
      <w:r>
        <w:rPr>
          <w:sz w:val="24"/>
        </w:rPr>
        <w:t>440</w:t>
      </w:r>
    </w:p>
    <w:p w14:paraId="34D17F23" w14:textId="77777777" w:rsidR="00D8198A" w:rsidRDefault="007D2284">
      <w:pPr>
        <w:pStyle w:val="ListParagraph"/>
        <w:numPr>
          <w:ilvl w:val="0"/>
          <w:numId w:val="2"/>
        </w:numPr>
        <w:tabs>
          <w:tab w:val="left" w:pos="4440"/>
        </w:tabs>
        <w:ind w:hanging="374"/>
        <w:jc w:val="left"/>
        <w:rPr>
          <w:sz w:val="24"/>
        </w:rPr>
      </w:pPr>
      <w:r>
        <w:rPr>
          <w:sz w:val="24"/>
        </w:rPr>
        <w:t xml:space="preserve">Math </w:t>
      </w:r>
      <w:proofErr w:type="spellStart"/>
      <w:r>
        <w:rPr>
          <w:sz w:val="24"/>
        </w:rPr>
        <w:t>subscore</w:t>
      </w:r>
      <w:proofErr w:type="spellEnd"/>
      <w:r>
        <w:rPr>
          <w:sz w:val="24"/>
        </w:rPr>
        <w:t xml:space="preserve"> minimum:</w:t>
      </w:r>
      <w:r>
        <w:rPr>
          <w:spacing w:val="-1"/>
          <w:sz w:val="24"/>
        </w:rPr>
        <w:t xml:space="preserve"> </w:t>
      </w:r>
      <w:r>
        <w:rPr>
          <w:sz w:val="24"/>
        </w:rPr>
        <w:t>440</w:t>
      </w:r>
    </w:p>
    <w:p w14:paraId="64072EE4" w14:textId="77777777" w:rsidR="00D8198A" w:rsidRDefault="00D8198A">
      <w:pPr>
        <w:pStyle w:val="BodyText"/>
      </w:pPr>
    </w:p>
    <w:p w14:paraId="029EBE1E" w14:textId="77777777" w:rsidR="00D8198A" w:rsidRDefault="007D2284">
      <w:pPr>
        <w:pStyle w:val="BodyText"/>
        <w:ind w:left="3360"/>
      </w:pPr>
      <w:r>
        <w:t xml:space="preserve">ACT </w:t>
      </w:r>
      <w:proofErr w:type="spellStart"/>
      <w:r>
        <w:t>subscore</w:t>
      </w:r>
      <w:proofErr w:type="spellEnd"/>
      <w:r>
        <w:t xml:space="preserve"> minimums:</w:t>
      </w:r>
    </w:p>
    <w:p w14:paraId="1EF03DD9" w14:textId="77777777" w:rsidR="00D8198A" w:rsidRDefault="007D2284">
      <w:pPr>
        <w:pStyle w:val="ListParagraph"/>
        <w:numPr>
          <w:ilvl w:val="0"/>
          <w:numId w:val="1"/>
        </w:numPr>
        <w:tabs>
          <w:tab w:val="left" w:pos="4440"/>
        </w:tabs>
        <w:jc w:val="left"/>
        <w:rPr>
          <w:sz w:val="24"/>
        </w:rPr>
      </w:pPr>
      <w:r>
        <w:rPr>
          <w:sz w:val="24"/>
        </w:rPr>
        <w:t xml:space="preserve">English </w:t>
      </w:r>
      <w:proofErr w:type="spellStart"/>
      <w:r>
        <w:rPr>
          <w:sz w:val="24"/>
        </w:rPr>
        <w:t>subscore</w:t>
      </w:r>
      <w:proofErr w:type="spellEnd"/>
      <w:r>
        <w:rPr>
          <w:sz w:val="24"/>
        </w:rPr>
        <w:t xml:space="preserve"> minimum:</w:t>
      </w:r>
      <w:r>
        <w:rPr>
          <w:spacing w:val="-1"/>
          <w:sz w:val="24"/>
        </w:rPr>
        <w:t xml:space="preserve"> </w:t>
      </w:r>
      <w:r>
        <w:rPr>
          <w:sz w:val="24"/>
        </w:rPr>
        <w:t>17</w:t>
      </w:r>
    </w:p>
    <w:p w14:paraId="0181631D" w14:textId="77777777" w:rsidR="00D8198A" w:rsidRDefault="007D2284">
      <w:pPr>
        <w:pStyle w:val="ListParagraph"/>
        <w:numPr>
          <w:ilvl w:val="0"/>
          <w:numId w:val="1"/>
        </w:numPr>
        <w:tabs>
          <w:tab w:val="left" w:pos="4440"/>
        </w:tabs>
        <w:ind w:hanging="374"/>
        <w:jc w:val="left"/>
        <w:rPr>
          <w:sz w:val="24"/>
        </w:rPr>
      </w:pPr>
      <w:r>
        <w:rPr>
          <w:sz w:val="24"/>
        </w:rPr>
        <w:t xml:space="preserve">Math </w:t>
      </w:r>
      <w:proofErr w:type="spellStart"/>
      <w:r>
        <w:rPr>
          <w:sz w:val="24"/>
        </w:rPr>
        <w:t>subscore</w:t>
      </w:r>
      <w:proofErr w:type="spellEnd"/>
      <w:r>
        <w:rPr>
          <w:sz w:val="24"/>
        </w:rPr>
        <w:t xml:space="preserve"> minimum:</w:t>
      </w:r>
      <w:r>
        <w:rPr>
          <w:spacing w:val="-1"/>
          <w:sz w:val="24"/>
        </w:rPr>
        <w:t xml:space="preserve"> </w:t>
      </w:r>
      <w:r>
        <w:rPr>
          <w:sz w:val="24"/>
        </w:rPr>
        <w:t>19</w:t>
      </w:r>
    </w:p>
    <w:p w14:paraId="5BC3F945" w14:textId="77777777" w:rsidR="00D8198A" w:rsidRDefault="007D2284">
      <w:pPr>
        <w:pStyle w:val="ListParagraph"/>
        <w:numPr>
          <w:ilvl w:val="0"/>
          <w:numId w:val="1"/>
        </w:numPr>
        <w:tabs>
          <w:tab w:val="left" w:pos="4440"/>
        </w:tabs>
        <w:ind w:hanging="441"/>
        <w:jc w:val="left"/>
        <w:rPr>
          <w:sz w:val="24"/>
        </w:rPr>
      </w:pPr>
      <w:r>
        <w:rPr>
          <w:sz w:val="24"/>
        </w:rPr>
        <w:t xml:space="preserve">Reading </w:t>
      </w:r>
      <w:proofErr w:type="spellStart"/>
      <w:r>
        <w:rPr>
          <w:sz w:val="24"/>
        </w:rPr>
        <w:t>subscore</w:t>
      </w:r>
      <w:proofErr w:type="spellEnd"/>
      <w:r>
        <w:rPr>
          <w:sz w:val="24"/>
        </w:rPr>
        <w:t xml:space="preserve"> minimum:</w:t>
      </w:r>
      <w:r>
        <w:rPr>
          <w:spacing w:val="-1"/>
          <w:sz w:val="24"/>
        </w:rPr>
        <w:t xml:space="preserve"> </w:t>
      </w:r>
      <w:r>
        <w:rPr>
          <w:sz w:val="24"/>
        </w:rPr>
        <w:t>18</w:t>
      </w:r>
    </w:p>
    <w:p w14:paraId="083EAC94" w14:textId="77777777" w:rsidR="00D8198A" w:rsidRDefault="00D8198A">
      <w:pPr>
        <w:pStyle w:val="BodyText"/>
      </w:pPr>
    </w:p>
    <w:p w14:paraId="676F66E8" w14:textId="77777777" w:rsidR="00D8198A" w:rsidRDefault="007D2284">
      <w:pPr>
        <w:pStyle w:val="ListParagraph"/>
        <w:numPr>
          <w:ilvl w:val="1"/>
          <w:numId w:val="4"/>
        </w:numPr>
        <w:tabs>
          <w:tab w:val="left" w:pos="2621"/>
        </w:tabs>
        <w:ind w:left="2279" w:right="704" w:firstLine="0"/>
        <w:jc w:val="left"/>
        <w:rPr>
          <w:sz w:val="24"/>
        </w:rPr>
      </w:pPr>
      <w:r>
        <w:rPr>
          <w:sz w:val="24"/>
        </w:rPr>
        <w:t xml:space="preserve">Students not meeting the minimum </w:t>
      </w:r>
      <w:proofErr w:type="spellStart"/>
      <w:r>
        <w:rPr>
          <w:sz w:val="24"/>
        </w:rPr>
        <w:t>subscores</w:t>
      </w:r>
      <w:proofErr w:type="spellEnd"/>
      <w:r>
        <w:rPr>
          <w:sz w:val="24"/>
        </w:rPr>
        <w:t xml:space="preserve"> or the sliding scale equivalency may be eligible for admissions through a student profile assessment which considers additional factors including, but not limited to, the following: family educational background, socioeconomic status, and graduation from a low-performing high school, graduation from an International Baccalaureate program, geographic location, and special talents. These additional factors shall not include preferences in the admissions process for applicants </w:t>
      </w:r>
      <w:proofErr w:type="gramStart"/>
      <w:r>
        <w:rPr>
          <w:sz w:val="24"/>
        </w:rPr>
        <w:t>on the basis of</w:t>
      </w:r>
      <w:proofErr w:type="gramEnd"/>
      <w:r>
        <w:rPr>
          <w:sz w:val="24"/>
        </w:rPr>
        <w:t xml:space="preserve"> race, national origin, or sex. The student may be admitted if, in the judgment of the Office of Admissions or appropriate Faculty Admissions Committee, there is sufficient </w:t>
      </w:r>
      <w:r>
        <w:rPr>
          <w:sz w:val="24"/>
        </w:rPr>
        <w:lastRenderedPageBreak/>
        <w:t>evidence that the student can be expected to succeed here at the University of North Florida. Students admitted as</w:t>
      </w:r>
      <w:r>
        <w:rPr>
          <w:spacing w:val="-5"/>
          <w:sz w:val="24"/>
        </w:rPr>
        <w:t xml:space="preserve"> </w:t>
      </w:r>
      <w:r>
        <w:rPr>
          <w:sz w:val="24"/>
        </w:rPr>
        <w:t>profile</w:t>
      </w:r>
    </w:p>
    <w:p w14:paraId="37CBB483" w14:textId="77777777" w:rsidR="00D8198A" w:rsidRDefault="007D2284" w:rsidP="007D2284">
      <w:pPr>
        <w:pStyle w:val="BodyText"/>
        <w:spacing w:before="76"/>
        <w:ind w:left="2279" w:right="1049"/>
      </w:pPr>
      <w:r>
        <w:t>assessments are admitted as exceptions and shall not exceed 10 percent of the total system FTICs students for that year.</w:t>
      </w:r>
    </w:p>
    <w:p w14:paraId="1CD8E474" w14:textId="77777777" w:rsidR="00D8198A" w:rsidRDefault="00D8198A">
      <w:pPr>
        <w:pStyle w:val="BodyText"/>
      </w:pPr>
    </w:p>
    <w:p w14:paraId="47C0E7F8" w14:textId="77777777" w:rsidR="00D8198A" w:rsidRDefault="007D2284">
      <w:pPr>
        <w:pStyle w:val="ListParagraph"/>
        <w:numPr>
          <w:ilvl w:val="0"/>
          <w:numId w:val="4"/>
        </w:numPr>
        <w:tabs>
          <w:tab w:val="left" w:pos="839"/>
          <w:tab w:val="left" w:pos="840"/>
        </w:tabs>
        <w:spacing w:before="1"/>
        <w:ind w:left="299" w:right="776" w:firstLine="0"/>
        <w:jc w:val="left"/>
        <w:rPr>
          <w:sz w:val="24"/>
        </w:rPr>
      </w:pPr>
      <w:r>
        <w:rPr>
          <w:sz w:val="24"/>
        </w:rPr>
        <w:t>No more than 50% of the students admitted to the University of North Florida as Profile Assessments (exceptions) may enroll without the equivalent of two high school credits in a foreign language sequence. Any student admitted to the University of North Florida without meeting the foreign language requirement must earn 8 to 10 semester hours in an approved foreign language or equivalent prior to completing 60 credit hours at the University of North</w:t>
      </w:r>
      <w:r>
        <w:rPr>
          <w:spacing w:val="-4"/>
          <w:sz w:val="24"/>
        </w:rPr>
        <w:t xml:space="preserve"> </w:t>
      </w:r>
      <w:r>
        <w:rPr>
          <w:sz w:val="24"/>
        </w:rPr>
        <w:t>Florida.</w:t>
      </w:r>
    </w:p>
    <w:p w14:paraId="4E8FE6EA" w14:textId="77777777" w:rsidR="00D8198A" w:rsidRDefault="00D8198A">
      <w:pPr>
        <w:pStyle w:val="BodyText"/>
        <w:spacing w:before="11"/>
        <w:rPr>
          <w:sz w:val="23"/>
        </w:rPr>
      </w:pPr>
    </w:p>
    <w:p w14:paraId="019A8657" w14:textId="77777777" w:rsidR="00D8198A" w:rsidRDefault="007D2284">
      <w:pPr>
        <w:pStyle w:val="ListParagraph"/>
        <w:numPr>
          <w:ilvl w:val="0"/>
          <w:numId w:val="4"/>
        </w:numPr>
        <w:tabs>
          <w:tab w:val="left" w:pos="641"/>
        </w:tabs>
        <w:ind w:left="300" w:right="700" w:firstLine="0"/>
        <w:jc w:val="left"/>
        <w:rPr>
          <w:sz w:val="24"/>
        </w:rPr>
      </w:pPr>
      <w:r>
        <w:rPr>
          <w:sz w:val="24"/>
        </w:rPr>
        <w:t xml:space="preserve">Talented Twenty: Within space and fiscal limitations, a student applying for admission who is a graduate of a public Florida high school, has completed (18) required high school units as listed in this regulation, ranks in the top 20% of his/her graduating class, and who has submitted the appropriate SAT/ACT test scores prior to enrollment shall be admitted to a university in the State University System. A Talented Twenty Student is not guaranteed admissions to the university of first choice. The </w:t>
      </w:r>
      <w:r>
        <w:rPr>
          <w:spacing w:val="-6"/>
          <w:sz w:val="24"/>
        </w:rPr>
        <w:t xml:space="preserve">SUS </w:t>
      </w:r>
      <w:r>
        <w:rPr>
          <w:sz w:val="24"/>
        </w:rPr>
        <w:t>will use class rank as determined by the Florida Department of</w:t>
      </w:r>
      <w:r>
        <w:rPr>
          <w:spacing w:val="-4"/>
          <w:sz w:val="24"/>
        </w:rPr>
        <w:t xml:space="preserve"> </w:t>
      </w:r>
      <w:r>
        <w:rPr>
          <w:sz w:val="24"/>
        </w:rPr>
        <w:t>Education.</w:t>
      </w:r>
    </w:p>
    <w:p w14:paraId="2020573A" w14:textId="77777777" w:rsidR="00D8198A" w:rsidRDefault="00D8198A">
      <w:pPr>
        <w:pStyle w:val="BodyText"/>
      </w:pPr>
    </w:p>
    <w:p w14:paraId="13BF1894" w14:textId="77777777" w:rsidR="00D8198A" w:rsidRPr="007D2284" w:rsidRDefault="007D2284">
      <w:pPr>
        <w:pStyle w:val="ListParagraph"/>
        <w:numPr>
          <w:ilvl w:val="0"/>
          <w:numId w:val="4"/>
        </w:numPr>
        <w:tabs>
          <w:tab w:val="left" w:pos="640"/>
        </w:tabs>
        <w:ind w:left="300" w:right="742" w:firstLine="0"/>
        <w:jc w:val="left"/>
        <w:rPr>
          <w:sz w:val="24"/>
        </w:rPr>
      </w:pPr>
      <w:r>
        <w:rPr>
          <w:sz w:val="24"/>
        </w:rPr>
        <w:t>Any changes that the Board of Trustees of the University of North Florida makes</w:t>
      </w:r>
      <w:r>
        <w:rPr>
          <w:spacing w:val="-11"/>
          <w:sz w:val="24"/>
        </w:rPr>
        <w:t xml:space="preserve"> </w:t>
      </w:r>
      <w:r>
        <w:rPr>
          <w:sz w:val="24"/>
        </w:rPr>
        <w:t xml:space="preserve">to institutional regulations will be reviewed annually by the Board of Governors. Any increase in standards must be included in the undergraduate catalog and posted on the University of </w:t>
      </w:r>
      <w:r w:rsidRPr="007D2284">
        <w:rPr>
          <w:sz w:val="24"/>
        </w:rPr>
        <w:t>North Florida web</w:t>
      </w:r>
      <w:r w:rsidRPr="007D2284">
        <w:rPr>
          <w:spacing w:val="-7"/>
          <w:sz w:val="24"/>
        </w:rPr>
        <w:t xml:space="preserve"> </w:t>
      </w:r>
      <w:r w:rsidRPr="007D2284">
        <w:rPr>
          <w:sz w:val="24"/>
        </w:rPr>
        <w:t>site.</w:t>
      </w:r>
    </w:p>
    <w:p w14:paraId="251E8FD7" w14:textId="77777777" w:rsidR="00D8198A" w:rsidRPr="007D2284" w:rsidRDefault="00D8198A">
      <w:pPr>
        <w:pStyle w:val="BodyText"/>
        <w:spacing w:before="1"/>
      </w:pPr>
    </w:p>
    <w:p w14:paraId="2080F16E" w14:textId="77777777" w:rsidR="00D8198A" w:rsidRPr="007D2284" w:rsidRDefault="007D2284">
      <w:pPr>
        <w:tabs>
          <w:tab w:val="left" w:pos="1992"/>
          <w:tab w:val="left" w:pos="7453"/>
        </w:tabs>
        <w:spacing w:before="1"/>
        <w:ind w:left="120" w:right="797"/>
        <w:rPr>
          <w:i/>
          <w:sz w:val="24"/>
        </w:rPr>
      </w:pPr>
      <w:r w:rsidRPr="007D2284">
        <w:rPr>
          <w:i/>
          <w:sz w:val="24"/>
        </w:rPr>
        <w:t>Specific Authority: Florida Board of Governors Regulation 6.002 and Section 7(d), Art. IX, Fla. Const.; Formerly 6C9-3.</w:t>
      </w:r>
      <w:proofErr w:type="gramStart"/>
      <w:r w:rsidRPr="007D2284">
        <w:rPr>
          <w:i/>
          <w:sz w:val="24"/>
        </w:rPr>
        <w:t>004;  Approved</w:t>
      </w:r>
      <w:proofErr w:type="gramEnd"/>
      <w:r w:rsidRPr="007D2284">
        <w:rPr>
          <w:i/>
          <w:sz w:val="24"/>
        </w:rPr>
        <w:t xml:space="preserve"> by</w:t>
      </w:r>
      <w:r w:rsidRPr="007D2284">
        <w:rPr>
          <w:i/>
          <w:spacing w:val="-4"/>
          <w:sz w:val="24"/>
        </w:rPr>
        <w:t xml:space="preserve"> </w:t>
      </w:r>
      <w:r w:rsidRPr="007D2284">
        <w:rPr>
          <w:i/>
          <w:sz w:val="24"/>
        </w:rPr>
        <w:t>the</w:t>
      </w:r>
      <w:r w:rsidRPr="007D2284">
        <w:rPr>
          <w:i/>
          <w:spacing w:val="-1"/>
          <w:sz w:val="24"/>
        </w:rPr>
        <w:t xml:space="preserve"> </w:t>
      </w:r>
      <w:r w:rsidRPr="007D2284">
        <w:rPr>
          <w:i/>
          <w:sz w:val="24"/>
        </w:rPr>
        <w:t>BOT and by the BOG.</w:t>
      </w:r>
    </w:p>
    <w:sectPr w:rsidR="00D8198A" w:rsidRPr="007D2284">
      <w:pgSz w:w="12240" w:h="15840"/>
      <w:pgMar w:top="640" w:right="1140" w:bottom="980" w:left="168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FEBF" w14:textId="77777777" w:rsidR="000E5CA5" w:rsidRDefault="000E5CA5">
      <w:r>
        <w:separator/>
      </w:r>
    </w:p>
  </w:endnote>
  <w:endnote w:type="continuationSeparator" w:id="0">
    <w:p w14:paraId="459EBA3B" w14:textId="77777777" w:rsidR="000E5CA5" w:rsidRDefault="000E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A96" w14:textId="77777777" w:rsidR="00D8198A" w:rsidRDefault="007D2284">
    <w:pPr>
      <w:pStyle w:val="BodyText"/>
      <w:spacing w:line="14" w:lineRule="auto"/>
      <w:rPr>
        <w:sz w:val="20"/>
      </w:rPr>
    </w:pPr>
    <w:r>
      <w:rPr>
        <w:noProof/>
      </w:rPr>
      <mc:AlternateContent>
        <mc:Choice Requires="wps">
          <w:drawing>
            <wp:inline distT="0" distB="0" distL="0" distR="0" wp14:anchorId="2B07C99F" wp14:editId="64CE92D4">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3C673" w14:textId="77777777" w:rsidR="00D8198A" w:rsidRDefault="007D2284">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inline>
          </w:drawing>
        </mc:Choice>
        <mc:Fallback>
          <w:pict>
            <v:shapetype w14:anchorId="2B07C99F"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" filled="f" stroked="f">
              <v:textbox inset="0,0,0,0">
                <w:txbxContent>
                  <w:p w14:paraId="63E3C673" w14:textId="77777777" w:rsidR="00D8198A" w:rsidRDefault="007D2284">
                    <w:pPr>
                      <w:pStyle w:val="BodyText"/>
                      <w:spacing w:before="10"/>
                      <w:ind w:left="60"/>
                    </w:pPr>
                    <w:r>
                      <w:fldChar w:fldCharType="begin"/>
                    </w:r>
                    <w:r>
                      <w:instrText xml:space="preserve"> PAGE </w:instrText>
                    </w:r>
                    <w:r>
                      <w:fldChar w:fldCharType="separate"/>
                    </w:r>
                    <w:r>
                      <w:t>3</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44BF" w14:textId="77777777" w:rsidR="000E5CA5" w:rsidRDefault="000E5CA5">
      <w:r>
        <w:separator/>
      </w:r>
    </w:p>
  </w:footnote>
  <w:footnote w:type="continuationSeparator" w:id="0">
    <w:p w14:paraId="34A93B19" w14:textId="77777777" w:rsidR="000E5CA5" w:rsidRDefault="000E5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22AE"/>
    <w:multiLevelType w:val="hybridMultilevel"/>
    <w:tmpl w:val="4F6074DC"/>
    <w:lvl w:ilvl="0" w:tplc="A36617E0">
      <w:start w:val="2"/>
      <w:numFmt w:val="decimal"/>
      <w:lvlText w:val="%1"/>
      <w:lvlJc w:val="left"/>
      <w:pPr>
        <w:ind w:left="3000" w:hanging="180"/>
        <w:jc w:val="left"/>
      </w:pPr>
      <w:rPr>
        <w:rFonts w:ascii="Times New Roman" w:eastAsia="Times New Roman" w:hAnsi="Times New Roman" w:cs="Times New Roman" w:hint="default"/>
        <w:b/>
        <w:bCs/>
        <w:w w:val="100"/>
        <w:sz w:val="24"/>
        <w:szCs w:val="24"/>
      </w:rPr>
    </w:lvl>
    <w:lvl w:ilvl="1" w:tplc="319EF55E">
      <w:numFmt w:val="bullet"/>
      <w:lvlText w:val="•"/>
      <w:lvlJc w:val="left"/>
      <w:pPr>
        <w:ind w:left="3642" w:hanging="180"/>
      </w:pPr>
      <w:rPr>
        <w:rFonts w:hint="default"/>
      </w:rPr>
    </w:lvl>
    <w:lvl w:ilvl="2" w:tplc="C6D0B792">
      <w:numFmt w:val="bullet"/>
      <w:lvlText w:val="•"/>
      <w:lvlJc w:val="left"/>
      <w:pPr>
        <w:ind w:left="4284" w:hanging="180"/>
      </w:pPr>
      <w:rPr>
        <w:rFonts w:hint="default"/>
      </w:rPr>
    </w:lvl>
    <w:lvl w:ilvl="3" w:tplc="E1CE5E8E">
      <w:numFmt w:val="bullet"/>
      <w:lvlText w:val="•"/>
      <w:lvlJc w:val="left"/>
      <w:pPr>
        <w:ind w:left="4926" w:hanging="180"/>
      </w:pPr>
      <w:rPr>
        <w:rFonts w:hint="default"/>
      </w:rPr>
    </w:lvl>
    <w:lvl w:ilvl="4" w:tplc="E4EA8AD0">
      <w:numFmt w:val="bullet"/>
      <w:lvlText w:val="•"/>
      <w:lvlJc w:val="left"/>
      <w:pPr>
        <w:ind w:left="5568" w:hanging="180"/>
      </w:pPr>
      <w:rPr>
        <w:rFonts w:hint="default"/>
      </w:rPr>
    </w:lvl>
    <w:lvl w:ilvl="5" w:tplc="BE5A3664">
      <w:numFmt w:val="bullet"/>
      <w:lvlText w:val="•"/>
      <w:lvlJc w:val="left"/>
      <w:pPr>
        <w:ind w:left="6210" w:hanging="180"/>
      </w:pPr>
      <w:rPr>
        <w:rFonts w:hint="default"/>
      </w:rPr>
    </w:lvl>
    <w:lvl w:ilvl="6" w:tplc="FF46CFFE">
      <w:numFmt w:val="bullet"/>
      <w:lvlText w:val="•"/>
      <w:lvlJc w:val="left"/>
      <w:pPr>
        <w:ind w:left="6852" w:hanging="180"/>
      </w:pPr>
      <w:rPr>
        <w:rFonts w:hint="default"/>
      </w:rPr>
    </w:lvl>
    <w:lvl w:ilvl="7" w:tplc="CAE2F154">
      <w:numFmt w:val="bullet"/>
      <w:lvlText w:val="•"/>
      <w:lvlJc w:val="left"/>
      <w:pPr>
        <w:ind w:left="7494" w:hanging="180"/>
      </w:pPr>
      <w:rPr>
        <w:rFonts w:hint="default"/>
      </w:rPr>
    </w:lvl>
    <w:lvl w:ilvl="8" w:tplc="CF4AC560">
      <w:numFmt w:val="bullet"/>
      <w:lvlText w:val="•"/>
      <w:lvlJc w:val="left"/>
      <w:pPr>
        <w:ind w:left="8136" w:hanging="180"/>
      </w:pPr>
      <w:rPr>
        <w:rFonts w:hint="default"/>
      </w:rPr>
    </w:lvl>
  </w:abstractNum>
  <w:abstractNum w:abstractNumId="1" w15:restartNumberingAfterBreak="0">
    <w:nsid w:val="360062C0"/>
    <w:multiLevelType w:val="hybridMultilevel"/>
    <w:tmpl w:val="539A9744"/>
    <w:lvl w:ilvl="0" w:tplc="9E0C9F98">
      <w:start w:val="1"/>
      <w:numFmt w:val="decimal"/>
      <w:lvlText w:val="(%1)"/>
      <w:lvlJc w:val="left"/>
      <w:pPr>
        <w:ind w:left="840" w:hanging="360"/>
        <w:jc w:val="right"/>
      </w:pPr>
      <w:rPr>
        <w:rFonts w:ascii="Times New Roman" w:eastAsia="Times New Roman" w:hAnsi="Times New Roman" w:cs="Times New Roman" w:hint="default"/>
        <w:w w:val="99"/>
        <w:sz w:val="24"/>
        <w:szCs w:val="24"/>
      </w:rPr>
    </w:lvl>
    <w:lvl w:ilvl="1" w:tplc="06F89B96">
      <w:start w:val="1"/>
      <w:numFmt w:val="lowerLetter"/>
      <w:lvlText w:val="(%2)"/>
      <w:lvlJc w:val="left"/>
      <w:pPr>
        <w:ind w:left="2100" w:hanging="327"/>
        <w:jc w:val="right"/>
      </w:pPr>
      <w:rPr>
        <w:rFonts w:ascii="Times New Roman" w:eastAsia="Times New Roman" w:hAnsi="Times New Roman" w:cs="Times New Roman" w:hint="default"/>
        <w:spacing w:val="-2"/>
        <w:w w:val="99"/>
        <w:sz w:val="24"/>
        <w:szCs w:val="24"/>
      </w:rPr>
    </w:lvl>
    <w:lvl w:ilvl="2" w:tplc="6052C5FC">
      <w:start w:val="1"/>
      <w:numFmt w:val="decimal"/>
      <w:lvlText w:val="%3."/>
      <w:lvlJc w:val="left"/>
      <w:pPr>
        <w:ind w:left="3000" w:hanging="360"/>
        <w:jc w:val="right"/>
      </w:pPr>
      <w:rPr>
        <w:rFonts w:ascii="Times New Roman" w:eastAsia="Times New Roman" w:hAnsi="Times New Roman" w:cs="Times New Roman" w:hint="default"/>
        <w:spacing w:val="-2"/>
        <w:w w:val="97"/>
        <w:sz w:val="24"/>
        <w:szCs w:val="24"/>
      </w:rPr>
    </w:lvl>
    <w:lvl w:ilvl="3" w:tplc="08B43B94">
      <w:start w:val="1"/>
      <w:numFmt w:val="lowerLetter"/>
      <w:lvlText w:val="%4."/>
      <w:lvlJc w:val="left"/>
      <w:pPr>
        <w:ind w:left="3720" w:hanging="360"/>
        <w:jc w:val="left"/>
      </w:pPr>
      <w:rPr>
        <w:rFonts w:ascii="Times New Roman" w:eastAsia="Times New Roman" w:hAnsi="Times New Roman" w:cs="Times New Roman" w:hint="default"/>
        <w:spacing w:val="-7"/>
        <w:w w:val="99"/>
        <w:sz w:val="24"/>
        <w:szCs w:val="24"/>
      </w:rPr>
    </w:lvl>
    <w:lvl w:ilvl="4" w:tplc="F894D37A">
      <w:numFmt w:val="bullet"/>
      <w:lvlText w:val="•"/>
      <w:lvlJc w:val="left"/>
      <w:pPr>
        <w:ind w:left="3720" w:hanging="360"/>
      </w:pPr>
      <w:rPr>
        <w:rFonts w:hint="default"/>
      </w:rPr>
    </w:lvl>
    <w:lvl w:ilvl="5" w:tplc="A30C844E">
      <w:numFmt w:val="bullet"/>
      <w:lvlText w:val="•"/>
      <w:lvlJc w:val="left"/>
      <w:pPr>
        <w:ind w:left="4670" w:hanging="360"/>
      </w:pPr>
      <w:rPr>
        <w:rFonts w:hint="default"/>
      </w:rPr>
    </w:lvl>
    <w:lvl w:ilvl="6" w:tplc="215C2B1C">
      <w:numFmt w:val="bullet"/>
      <w:lvlText w:val="•"/>
      <w:lvlJc w:val="left"/>
      <w:pPr>
        <w:ind w:left="5620" w:hanging="360"/>
      </w:pPr>
      <w:rPr>
        <w:rFonts w:hint="default"/>
      </w:rPr>
    </w:lvl>
    <w:lvl w:ilvl="7" w:tplc="3F3AF9A8">
      <w:numFmt w:val="bullet"/>
      <w:lvlText w:val="•"/>
      <w:lvlJc w:val="left"/>
      <w:pPr>
        <w:ind w:left="6570" w:hanging="360"/>
      </w:pPr>
      <w:rPr>
        <w:rFonts w:hint="default"/>
      </w:rPr>
    </w:lvl>
    <w:lvl w:ilvl="8" w:tplc="489CED6A">
      <w:numFmt w:val="bullet"/>
      <w:lvlText w:val="•"/>
      <w:lvlJc w:val="left"/>
      <w:pPr>
        <w:ind w:left="7520" w:hanging="360"/>
      </w:pPr>
      <w:rPr>
        <w:rFonts w:hint="default"/>
      </w:rPr>
    </w:lvl>
  </w:abstractNum>
  <w:abstractNum w:abstractNumId="2" w15:restartNumberingAfterBreak="0">
    <w:nsid w:val="4850576E"/>
    <w:multiLevelType w:val="hybridMultilevel"/>
    <w:tmpl w:val="A2064326"/>
    <w:lvl w:ilvl="0" w:tplc="9F8C5D20">
      <w:numFmt w:val="bullet"/>
      <w:lvlText w:val=""/>
      <w:lvlJc w:val="left"/>
      <w:pPr>
        <w:ind w:left="391" w:hanging="251"/>
      </w:pPr>
      <w:rPr>
        <w:rFonts w:ascii="Wingdings" w:eastAsia="Wingdings" w:hAnsi="Wingdings" w:cs="Wingdings" w:hint="default"/>
        <w:w w:val="99"/>
        <w:sz w:val="22"/>
        <w:szCs w:val="22"/>
      </w:rPr>
    </w:lvl>
    <w:lvl w:ilvl="1" w:tplc="2F3A1EEC">
      <w:numFmt w:val="bullet"/>
      <w:lvlText w:val="•"/>
      <w:lvlJc w:val="left"/>
      <w:pPr>
        <w:ind w:left="558" w:hanging="251"/>
      </w:pPr>
      <w:rPr>
        <w:rFonts w:hint="default"/>
      </w:rPr>
    </w:lvl>
    <w:lvl w:ilvl="2" w:tplc="C346F44E">
      <w:numFmt w:val="bullet"/>
      <w:lvlText w:val="•"/>
      <w:lvlJc w:val="left"/>
      <w:pPr>
        <w:ind w:left="716" w:hanging="251"/>
      </w:pPr>
      <w:rPr>
        <w:rFonts w:hint="default"/>
      </w:rPr>
    </w:lvl>
    <w:lvl w:ilvl="3" w:tplc="D7567808">
      <w:numFmt w:val="bullet"/>
      <w:lvlText w:val="•"/>
      <w:lvlJc w:val="left"/>
      <w:pPr>
        <w:ind w:left="874" w:hanging="251"/>
      </w:pPr>
      <w:rPr>
        <w:rFonts w:hint="default"/>
      </w:rPr>
    </w:lvl>
    <w:lvl w:ilvl="4" w:tplc="4D343D2A">
      <w:numFmt w:val="bullet"/>
      <w:lvlText w:val="•"/>
      <w:lvlJc w:val="left"/>
      <w:pPr>
        <w:ind w:left="1033" w:hanging="251"/>
      </w:pPr>
      <w:rPr>
        <w:rFonts w:hint="default"/>
      </w:rPr>
    </w:lvl>
    <w:lvl w:ilvl="5" w:tplc="F4BA031A">
      <w:numFmt w:val="bullet"/>
      <w:lvlText w:val="•"/>
      <w:lvlJc w:val="left"/>
      <w:pPr>
        <w:ind w:left="1191" w:hanging="251"/>
      </w:pPr>
      <w:rPr>
        <w:rFonts w:hint="default"/>
      </w:rPr>
    </w:lvl>
    <w:lvl w:ilvl="6" w:tplc="55F4F928">
      <w:numFmt w:val="bullet"/>
      <w:lvlText w:val="•"/>
      <w:lvlJc w:val="left"/>
      <w:pPr>
        <w:ind w:left="1349" w:hanging="251"/>
      </w:pPr>
      <w:rPr>
        <w:rFonts w:hint="default"/>
      </w:rPr>
    </w:lvl>
    <w:lvl w:ilvl="7" w:tplc="221E59D0">
      <w:numFmt w:val="bullet"/>
      <w:lvlText w:val="•"/>
      <w:lvlJc w:val="left"/>
      <w:pPr>
        <w:ind w:left="1508" w:hanging="251"/>
      </w:pPr>
      <w:rPr>
        <w:rFonts w:hint="default"/>
      </w:rPr>
    </w:lvl>
    <w:lvl w:ilvl="8" w:tplc="EBD4A992">
      <w:numFmt w:val="bullet"/>
      <w:lvlText w:val="•"/>
      <w:lvlJc w:val="left"/>
      <w:pPr>
        <w:ind w:left="1666" w:hanging="251"/>
      </w:pPr>
      <w:rPr>
        <w:rFonts w:hint="default"/>
      </w:rPr>
    </w:lvl>
  </w:abstractNum>
  <w:abstractNum w:abstractNumId="3" w15:restartNumberingAfterBreak="0">
    <w:nsid w:val="587300FA"/>
    <w:multiLevelType w:val="hybridMultilevel"/>
    <w:tmpl w:val="9F42184A"/>
    <w:lvl w:ilvl="0" w:tplc="52BC8FC4">
      <w:start w:val="1"/>
      <w:numFmt w:val="upperRoman"/>
      <w:pStyle w:val="Heading2"/>
      <w:lvlText w:val="%1."/>
      <w:lvlJc w:val="left"/>
      <w:pPr>
        <w:ind w:left="1200" w:hanging="720"/>
        <w:jc w:val="left"/>
      </w:pPr>
      <w:rPr>
        <w:rFonts w:ascii="Times New Roman" w:eastAsia="Times New Roman" w:hAnsi="Times New Roman" w:cs="Times New Roman" w:hint="default"/>
        <w:b/>
        <w:bCs/>
        <w:w w:val="99"/>
        <w:sz w:val="24"/>
        <w:szCs w:val="24"/>
      </w:rPr>
    </w:lvl>
    <w:lvl w:ilvl="1" w:tplc="D5AA8CA0">
      <w:numFmt w:val="bullet"/>
      <w:lvlText w:val="•"/>
      <w:lvlJc w:val="left"/>
      <w:pPr>
        <w:ind w:left="2022" w:hanging="720"/>
      </w:pPr>
      <w:rPr>
        <w:rFonts w:hint="default"/>
      </w:rPr>
    </w:lvl>
    <w:lvl w:ilvl="2" w:tplc="62DCFD72">
      <w:numFmt w:val="bullet"/>
      <w:lvlText w:val="•"/>
      <w:lvlJc w:val="left"/>
      <w:pPr>
        <w:ind w:left="2844" w:hanging="720"/>
      </w:pPr>
      <w:rPr>
        <w:rFonts w:hint="default"/>
      </w:rPr>
    </w:lvl>
    <w:lvl w:ilvl="3" w:tplc="AF2EF0BC">
      <w:numFmt w:val="bullet"/>
      <w:lvlText w:val="•"/>
      <w:lvlJc w:val="left"/>
      <w:pPr>
        <w:ind w:left="3666" w:hanging="720"/>
      </w:pPr>
      <w:rPr>
        <w:rFonts w:hint="default"/>
      </w:rPr>
    </w:lvl>
    <w:lvl w:ilvl="4" w:tplc="190C4DC6">
      <w:numFmt w:val="bullet"/>
      <w:lvlText w:val="•"/>
      <w:lvlJc w:val="left"/>
      <w:pPr>
        <w:ind w:left="4488" w:hanging="720"/>
      </w:pPr>
      <w:rPr>
        <w:rFonts w:hint="default"/>
      </w:rPr>
    </w:lvl>
    <w:lvl w:ilvl="5" w:tplc="006C7104">
      <w:numFmt w:val="bullet"/>
      <w:lvlText w:val="•"/>
      <w:lvlJc w:val="left"/>
      <w:pPr>
        <w:ind w:left="5310" w:hanging="720"/>
      </w:pPr>
      <w:rPr>
        <w:rFonts w:hint="default"/>
      </w:rPr>
    </w:lvl>
    <w:lvl w:ilvl="6" w:tplc="1EA4FD66">
      <w:numFmt w:val="bullet"/>
      <w:lvlText w:val="•"/>
      <w:lvlJc w:val="left"/>
      <w:pPr>
        <w:ind w:left="6132" w:hanging="720"/>
      </w:pPr>
      <w:rPr>
        <w:rFonts w:hint="default"/>
      </w:rPr>
    </w:lvl>
    <w:lvl w:ilvl="7" w:tplc="E2FEDECE">
      <w:numFmt w:val="bullet"/>
      <w:lvlText w:val="•"/>
      <w:lvlJc w:val="left"/>
      <w:pPr>
        <w:ind w:left="6954" w:hanging="720"/>
      </w:pPr>
      <w:rPr>
        <w:rFonts w:hint="default"/>
      </w:rPr>
    </w:lvl>
    <w:lvl w:ilvl="8" w:tplc="33604FAA">
      <w:numFmt w:val="bullet"/>
      <w:lvlText w:val="•"/>
      <w:lvlJc w:val="left"/>
      <w:pPr>
        <w:ind w:left="7776" w:hanging="720"/>
      </w:pPr>
      <w:rPr>
        <w:rFonts w:hint="default"/>
      </w:rPr>
    </w:lvl>
  </w:abstractNum>
  <w:abstractNum w:abstractNumId="4" w15:restartNumberingAfterBreak="0">
    <w:nsid w:val="66300764"/>
    <w:multiLevelType w:val="hybridMultilevel"/>
    <w:tmpl w:val="5882D788"/>
    <w:lvl w:ilvl="0" w:tplc="2FBA62F2">
      <w:start w:val="1"/>
      <w:numFmt w:val="lowerRoman"/>
      <w:lvlText w:val="%1."/>
      <w:lvlJc w:val="left"/>
      <w:pPr>
        <w:ind w:left="4440" w:hanging="308"/>
        <w:jc w:val="right"/>
      </w:pPr>
      <w:rPr>
        <w:rFonts w:ascii="Times New Roman" w:eastAsia="Times New Roman" w:hAnsi="Times New Roman" w:cs="Times New Roman" w:hint="default"/>
        <w:spacing w:val="-2"/>
        <w:w w:val="100"/>
        <w:sz w:val="24"/>
        <w:szCs w:val="24"/>
      </w:rPr>
    </w:lvl>
    <w:lvl w:ilvl="1" w:tplc="6E1E1564">
      <w:numFmt w:val="bullet"/>
      <w:lvlText w:val="•"/>
      <w:lvlJc w:val="left"/>
      <w:pPr>
        <w:ind w:left="4938" w:hanging="308"/>
      </w:pPr>
      <w:rPr>
        <w:rFonts w:hint="default"/>
      </w:rPr>
    </w:lvl>
    <w:lvl w:ilvl="2" w:tplc="1B9689FA">
      <w:numFmt w:val="bullet"/>
      <w:lvlText w:val="•"/>
      <w:lvlJc w:val="left"/>
      <w:pPr>
        <w:ind w:left="5436" w:hanging="308"/>
      </w:pPr>
      <w:rPr>
        <w:rFonts w:hint="default"/>
      </w:rPr>
    </w:lvl>
    <w:lvl w:ilvl="3" w:tplc="E20808BA">
      <w:numFmt w:val="bullet"/>
      <w:lvlText w:val="•"/>
      <w:lvlJc w:val="left"/>
      <w:pPr>
        <w:ind w:left="5934" w:hanging="308"/>
      </w:pPr>
      <w:rPr>
        <w:rFonts w:hint="default"/>
      </w:rPr>
    </w:lvl>
    <w:lvl w:ilvl="4" w:tplc="33244A6A">
      <w:numFmt w:val="bullet"/>
      <w:lvlText w:val="•"/>
      <w:lvlJc w:val="left"/>
      <w:pPr>
        <w:ind w:left="6432" w:hanging="308"/>
      </w:pPr>
      <w:rPr>
        <w:rFonts w:hint="default"/>
      </w:rPr>
    </w:lvl>
    <w:lvl w:ilvl="5" w:tplc="33D274AC">
      <w:numFmt w:val="bullet"/>
      <w:lvlText w:val="•"/>
      <w:lvlJc w:val="left"/>
      <w:pPr>
        <w:ind w:left="6930" w:hanging="308"/>
      </w:pPr>
      <w:rPr>
        <w:rFonts w:hint="default"/>
      </w:rPr>
    </w:lvl>
    <w:lvl w:ilvl="6" w:tplc="7E9A616E">
      <w:numFmt w:val="bullet"/>
      <w:lvlText w:val="•"/>
      <w:lvlJc w:val="left"/>
      <w:pPr>
        <w:ind w:left="7428" w:hanging="308"/>
      </w:pPr>
      <w:rPr>
        <w:rFonts w:hint="default"/>
      </w:rPr>
    </w:lvl>
    <w:lvl w:ilvl="7" w:tplc="0E18EC38">
      <w:numFmt w:val="bullet"/>
      <w:lvlText w:val="•"/>
      <w:lvlJc w:val="left"/>
      <w:pPr>
        <w:ind w:left="7926" w:hanging="308"/>
      </w:pPr>
      <w:rPr>
        <w:rFonts w:hint="default"/>
      </w:rPr>
    </w:lvl>
    <w:lvl w:ilvl="8" w:tplc="DFFC7966">
      <w:numFmt w:val="bullet"/>
      <w:lvlText w:val="•"/>
      <w:lvlJc w:val="left"/>
      <w:pPr>
        <w:ind w:left="8424" w:hanging="308"/>
      </w:pPr>
      <w:rPr>
        <w:rFonts w:hint="default"/>
      </w:rPr>
    </w:lvl>
  </w:abstractNum>
  <w:abstractNum w:abstractNumId="5" w15:restartNumberingAfterBreak="0">
    <w:nsid w:val="70217FB4"/>
    <w:multiLevelType w:val="hybridMultilevel"/>
    <w:tmpl w:val="F662985C"/>
    <w:lvl w:ilvl="0" w:tplc="AE1E3C52">
      <w:start w:val="1"/>
      <w:numFmt w:val="lowerRoman"/>
      <w:lvlText w:val="%1."/>
      <w:lvlJc w:val="left"/>
      <w:pPr>
        <w:ind w:left="4440" w:hanging="308"/>
        <w:jc w:val="right"/>
      </w:pPr>
      <w:rPr>
        <w:rFonts w:ascii="Times New Roman" w:eastAsia="Times New Roman" w:hAnsi="Times New Roman" w:cs="Times New Roman" w:hint="default"/>
        <w:spacing w:val="-2"/>
        <w:w w:val="100"/>
        <w:sz w:val="24"/>
        <w:szCs w:val="24"/>
      </w:rPr>
    </w:lvl>
    <w:lvl w:ilvl="1" w:tplc="7FA4217E">
      <w:numFmt w:val="bullet"/>
      <w:lvlText w:val="•"/>
      <w:lvlJc w:val="left"/>
      <w:pPr>
        <w:ind w:left="4938" w:hanging="308"/>
      </w:pPr>
      <w:rPr>
        <w:rFonts w:hint="default"/>
      </w:rPr>
    </w:lvl>
    <w:lvl w:ilvl="2" w:tplc="492ECC86">
      <w:numFmt w:val="bullet"/>
      <w:lvlText w:val="•"/>
      <w:lvlJc w:val="left"/>
      <w:pPr>
        <w:ind w:left="5436" w:hanging="308"/>
      </w:pPr>
      <w:rPr>
        <w:rFonts w:hint="default"/>
      </w:rPr>
    </w:lvl>
    <w:lvl w:ilvl="3" w:tplc="B8BCAF3C">
      <w:numFmt w:val="bullet"/>
      <w:lvlText w:val="•"/>
      <w:lvlJc w:val="left"/>
      <w:pPr>
        <w:ind w:left="5934" w:hanging="308"/>
      </w:pPr>
      <w:rPr>
        <w:rFonts w:hint="default"/>
      </w:rPr>
    </w:lvl>
    <w:lvl w:ilvl="4" w:tplc="16F65892">
      <w:numFmt w:val="bullet"/>
      <w:lvlText w:val="•"/>
      <w:lvlJc w:val="left"/>
      <w:pPr>
        <w:ind w:left="6432" w:hanging="308"/>
      </w:pPr>
      <w:rPr>
        <w:rFonts w:hint="default"/>
      </w:rPr>
    </w:lvl>
    <w:lvl w:ilvl="5" w:tplc="36861466">
      <w:numFmt w:val="bullet"/>
      <w:lvlText w:val="•"/>
      <w:lvlJc w:val="left"/>
      <w:pPr>
        <w:ind w:left="6930" w:hanging="308"/>
      </w:pPr>
      <w:rPr>
        <w:rFonts w:hint="default"/>
      </w:rPr>
    </w:lvl>
    <w:lvl w:ilvl="6" w:tplc="CDD60EC4">
      <w:numFmt w:val="bullet"/>
      <w:lvlText w:val="•"/>
      <w:lvlJc w:val="left"/>
      <w:pPr>
        <w:ind w:left="7428" w:hanging="308"/>
      </w:pPr>
      <w:rPr>
        <w:rFonts w:hint="default"/>
      </w:rPr>
    </w:lvl>
    <w:lvl w:ilvl="7" w:tplc="CBDA0DE0">
      <w:numFmt w:val="bullet"/>
      <w:lvlText w:val="•"/>
      <w:lvlJc w:val="left"/>
      <w:pPr>
        <w:ind w:left="7926" w:hanging="308"/>
      </w:pPr>
      <w:rPr>
        <w:rFonts w:hint="default"/>
      </w:rPr>
    </w:lvl>
    <w:lvl w:ilvl="8" w:tplc="9F424F00">
      <w:numFmt w:val="bullet"/>
      <w:lvlText w:val="•"/>
      <w:lvlJc w:val="left"/>
      <w:pPr>
        <w:ind w:left="8424" w:hanging="308"/>
      </w:pPr>
      <w:rPr>
        <w:rFont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sjQzMTIzNgMiEyUdpeDU4uLM/DyQAqNaAAFQ/jwsAAAA"/>
  </w:docVars>
  <w:rsids>
    <w:rsidRoot w:val="00D8198A"/>
    <w:rsid w:val="000E5CA5"/>
    <w:rsid w:val="00116343"/>
    <w:rsid w:val="003A70CE"/>
    <w:rsid w:val="007D2284"/>
    <w:rsid w:val="00D8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953F"/>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3A70CE"/>
    <w:pPr>
      <w:widowControl/>
      <w:autoSpaceDE/>
      <w:autoSpaceDN/>
      <w:spacing w:line="259" w:lineRule="auto"/>
      <w:outlineLvl w:val="0"/>
    </w:pPr>
    <w:rPr>
      <w:b/>
      <w:color w:val="000000"/>
      <w:sz w:val="24"/>
    </w:rPr>
  </w:style>
  <w:style w:type="paragraph" w:styleId="Heading2">
    <w:name w:val="heading 2"/>
    <w:basedOn w:val="Heading1"/>
    <w:next w:val="Normal"/>
    <w:link w:val="Heading2Char"/>
    <w:uiPriority w:val="9"/>
    <w:unhideWhenUsed/>
    <w:qFormat/>
    <w:rsid w:val="007D2284"/>
    <w:pPr>
      <w:numPr>
        <w:numId w:val="5"/>
      </w:numPr>
      <w:tabs>
        <w:tab w:val="left" w:pos="1199"/>
        <w:tab w:val="left" w:pos="1200"/>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50" w:lineRule="exact"/>
      <w:ind w:left="107"/>
    </w:pPr>
  </w:style>
  <w:style w:type="character" w:customStyle="1" w:styleId="Heading2Char">
    <w:name w:val="Heading 2 Char"/>
    <w:basedOn w:val="DefaultParagraphFont"/>
    <w:link w:val="Heading2"/>
    <w:uiPriority w:val="9"/>
    <w:rsid w:val="007D228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D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284"/>
    <w:rPr>
      <w:rFonts w:ascii="Segoe UI" w:eastAsia="Times New Roman" w:hAnsi="Segoe UI" w:cs="Segoe UI"/>
      <w:sz w:val="18"/>
      <w:szCs w:val="18"/>
    </w:rPr>
  </w:style>
  <w:style w:type="table" w:styleId="TableGrid">
    <w:name w:val="Table Grid"/>
    <w:basedOn w:val="TableNormal"/>
    <w:uiPriority w:val="39"/>
    <w:rsid w:val="007D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14FD2DDF841258C6B9E6A724256C0"/>
        <w:category>
          <w:name w:val="General"/>
          <w:gallery w:val="placeholder"/>
        </w:category>
        <w:types>
          <w:type w:val="bbPlcHdr"/>
        </w:types>
        <w:behaviors>
          <w:behavior w:val="content"/>
        </w:behaviors>
        <w:guid w:val="{6271BE8A-AE44-431E-8048-391244551421}"/>
      </w:docPartPr>
      <w:docPartBody>
        <w:p w:rsidR="00DF5DBF" w:rsidRDefault="00374D5B" w:rsidP="00374D5B">
          <w:pPr>
            <w:pStyle w:val="52A14FD2DDF841258C6B9E6A724256C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5B"/>
    <w:rsid w:val="00374D5B"/>
    <w:rsid w:val="00A5409D"/>
    <w:rsid w:val="00D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D5B"/>
    <w:rPr>
      <w:color w:val="808080"/>
    </w:rPr>
  </w:style>
  <w:style w:type="paragraph" w:customStyle="1" w:styleId="52A14FD2DDF841258C6B9E6A724256C0">
    <w:name w:val="52A14FD2DDF841258C6B9E6A724256C0"/>
    <w:rsid w:val="00374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2008</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01603-0BF0-4A17-99A9-073BB2A11C50}">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6D6BB341-E51A-4240-8E0B-8F183AAC9020}">
  <ds:schemaRefs>
    <ds:schemaRef ds:uri="http://schemas.microsoft.com/sharepoint/v3/contenttype/forms"/>
  </ds:schemaRefs>
</ds:datastoreItem>
</file>

<file path=customXml/itemProps3.xml><?xml version="1.0" encoding="utf-8"?>
<ds:datastoreItem xmlns:ds="http://schemas.openxmlformats.org/officeDocument/2006/customXml" ds:itemID="{47FCA1D1-E58F-4A86-80AE-E164526DF536}"/>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2020-02-03T18:58:00Z</dcterms:created>
  <dcterms:modified xsi:type="dcterms:W3CDTF">2022-08-12T18:23:00Z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Acrobat PDFMaker 8.1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