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473" w:rsidRDefault="003603ED">
      <w:pPr>
        <w:spacing w:before="77"/>
        <w:ind w:right="134"/>
        <w:jc w:val="right"/>
        <w:rPr>
          <w:rFonts w:ascii="Arial"/>
        </w:rPr>
      </w:pPr>
      <w:bookmarkStart w:id="0" w:name="_bookmark0"/>
      <w:bookmarkStart w:id="1" w:name="05_BOT_07-25-06_Item_06_Tuition,_Fees,_S"/>
      <w:bookmarkStart w:id="2" w:name="Item:_6"/>
      <w:bookmarkEnd w:id="0"/>
      <w:bookmarkEnd w:id="1"/>
      <w:bookmarkEnd w:id="2"/>
      <w:r>
        <w:rPr>
          <w:rFonts w:ascii="Arial"/>
        </w:rPr>
        <w:t>Item: 6</w:t>
      </w:r>
    </w:p>
    <w:p w:rsidR="00950473" w:rsidRDefault="00950473">
      <w:pPr>
        <w:pStyle w:val="BodyText"/>
        <w:spacing w:before="8"/>
        <w:rPr>
          <w:rFonts w:ascii="Arial"/>
          <w:sz w:val="22"/>
        </w:rPr>
      </w:pPr>
    </w:p>
    <w:p w:rsidR="00950473" w:rsidRPr="003603ED" w:rsidRDefault="003603ED" w:rsidP="003603ED">
      <w:pPr>
        <w:pStyle w:val="Title"/>
      </w:pPr>
      <w:bookmarkStart w:id="3" w:name="UNF_Board_of_Trustees"/>
      <w:bookmarkEnd w:id="3"/>
      <w:r w:rsidRPr="003603ED">
        <w:t>UNF Board of Trustees</w:t>
      </w:r>
    </w:p>
    <w:p w:rsidR="00950473" w:rsidRDefault="003603ED">
      <w:pPr>
        <w:spacing w:before="61"/>
        <w:ind w:left="2124" w:right="2124"/>
        <w:jc w:val="center"/>
        <w:rPr>
          <w:rFonts w:ascii="Arial"/>
        </w:rPr>
      </w:pPr>
      <w:bookmarkStart w:id="4" w:name="July_25,_2006"/>
      <w:bookmarkEnd w:id="4"/>
      <w:r>
        <w:rPr>
          <w:rFonts w:ascii="Arial"/>
        </w:rPr>
        <w:t>J</w:t>
      </w:r>
      <w:r>
        <w:rPr>
          <w:rFonts w:ascii="Arial"/>
        </w:rPr>
        <w:t>uly 25, 2006</w:t>
      </w:r>
    </w:p>
    <w:p w:rsidR="00950473" w:rsidRDefault="00950473">
      <w:pPr>
        <w:pStyle w:val="BodyText"/>
        <w:spacing w:before="3"/>
        <w:rPr>
          <w:rFonts w:ascii="Arial"/>
          <w:sz w:val="28"/>
        </w:rPr>
      </w:pPr>
    </w:p>
    <w:p w:rsidR="00950473" w:rsidRDefault="003603ED">
      <w:pPr>
        <w:tabs>
          <w:tab w:val="left" w:pos="2299"/>
        </w:tabs>
        <w:spacing w:before="1"/>
        <w:ind w:left="140"/>
        <w:rPr>
          <w:rFonts w:ascii="Arial"/>
        </w:rPr>
      </w:pPr>
      <w:r>
        <w:rPr>
          <w:rFonts w:ascii="Arial"/>
          <w:b/>
        </w:rPr>
        <w:t>Issue:</w:t>
      </w:r>
      <w:r>
        <w:rPr>
          <w:rFonts w:ascii="Arial"/>
          <w:b/>
        </w:rPr>
        <w:tab/>
      </w:r>
      <w:r>
        <w:rPr>
          <w:rFonts w:ascii="Arial"/>
        </w:rPr>
        <w:t>Tuition, Fees, Special Fees, Fines and Penalties</w:t>
      </w:r>
      <w:r>
        <w:rPr>
          <w:rFonts w:ascii="Arial"/>
          <w:spacing w:val="-10"/>
        </w:rPr>
        <w:t xml:space="preserve"> </w:t>
      </w:r>
      <w:r>
        <w:rPr>
          <w:rFonts w:ascii="Arial"/>
        </w:rPr>
        <w:t>Regulations</w:t>
      </w:r>
    </w:p>
    <w:p w:rsidR="00950473" w:rsidRDefault="003603ED">
      <w:pPr>
        <w:pStyle w:val="BodyText"/>
        <w:spacing w:before="11"/>
        <w:rPr>
          <w:rFonts w:ascii="Arial"/>
          <w:sz w:val="22"/>
        </w:rPr>
      </w:pPr>
      <w:r>
        <w:rPr>
          <w:noProof/>
        </w:rPr>
        <mc:AlternateContent>
          <mc:Choice Requires="wps">
            <w:drawing>
              <wp:anchor distT="0" distB="0" distL="0" distR="0" simplePos="0" relativeHeight="251658240" behindDoc="1" locked="0" layoutInCell="1" allowOverlap="1">
                <wp:simplePos x="0" y="0"/>
                <wp:positionH relativeFrom="page">
                  <wp:posOffset>895985</wp:posOffset>
                </wp:positionH>
                <wp:positionV relativeFrom="paragraph">
                  <wp:posOffset>195580</wp:posOffset>
                </wp:positionV>
                <wp:extent cx="5980430" cy="1270"/>
                <wp:effectExtent l="0" t="0" r="0" b="0"/>
                <wp:wrapTopAndBottom/>
                <wp:docPr id="3"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35A25" id="Freeform 4" o:spid="_x0000_s1026" style="position:absolute;margin-left:70.55pt;margin-top:15.4pt;width:470.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" path="m,l9418,e" filled="f" strokeweight=".16969mm">
                <v:path arrowok="t" o:connecttype="custom" o:connectlocs="0,0;5980430,0" o:connectangles="0,0"/>
                <w10:wrap type="topAndBottom" anchorx="page"/>
              </v:shape>
            </w:pict>
          </mc:Fallback>
        </mc:AlternateContent>
      </w:r>
    </w:p>
    <w:p w:rsidR="00950473" w:rsidRDefault="00950473">
      <w:pPr>
        <w:pStyle w:val="BodyText"/>
        <w:spacing w:before="9"/>
        <w:rPr>
          <w:rFonts w:ascii="Arial"/>
          <w:sz w:val="14"/>
        </w:rPr>
      </w:pPr>
    </w:p>
    <w:p w:rsidR="00950473" w:rsidRDefault="003603ED">
      <w:pPr>
        <w:tabs>
          <w:tab w:val="left" w:pos="2299"/>
        </w:tabs>
        <w:spacing w:before="93"/>
        <w:ind w:left="140"/>
        <w:rPr>
          <w:rFonts w:ascii="Arial"/>
        </w:rPr>
      </w:pPr>
      <w:r>
        <w:rPr>
          <w:rFonts w:ascii="Arial"/>
          <w:b/>
        </w:rPr>
        <w:t>Proposed</w:t>
      </w:r>
      <w:r>
        <w:rPr>
          <w:rFonts w:ascii="Arial"/>
          <w:b/>
          <w:spacing w:val="-2"/>
        </w:rPr>
        <w:t xml:space="preserve"> </w:t>
      </w:r>
      <w:r>
        <w:rPr>
          <w:rFonts w:ascii="Arial"/>
          <w:b/>
        </w:rPr>
        <w:t>action:</w:t>
      </w:r>
      <w:r>
        <w:rPr>
          <w:rFonts w:ascii="Arial"/>
          <w:b/>
        </w:rPr>
        <w:tab/>
      </w:r>
      <w:r>
        <w:rPr>
          <w:rFonts w:ascii="Arial"/>
        </w:rPr>
        <w:t>Approval</w:t>
      </w:r>
    </w:p>
    <w:p w:rsidR="00950473" w:rsidRDefault="003603ED">
      <w:pPr>
        <w:pStyle w:val="BodyText"/>
        <w:spacing w:before="9"/>
        <w:rPr>
          <w:rFonts w:ascii="Arial"/>
          <w:sz w:val="21"/>
        </w:rPr>
      </w:pPr>
      <w:r>
        <w:rPr>
          <w:noProof/>
        </w:rPr>
        <mc:AlternateContent>
          <mc:Choice Requires="wps">
            <w:drawing>
              <wp:anchor distT="0" distB="0" distL="0" distR="0" simplePos="0" relativeHeight="251659264" behindDoc="1" locked="0" layoutInCell="1" allowOverlap="1">
                <wp:simplePos x="0" y="0"/>
                <wp:positionH relativeFrom="page">
                  <wp:posOffset>895985</wp:posOffset>
                </wp:positionH>
                <wp:positionV relativeFrom="paragraph">
                  <wp:posOffset>187325</wp:posOffset>
                </wp:positionV>
                <wp:extent cx="5980430" cy="1270"/>
                <wp:effectExtent l="0" t="0" r="0" b="0"/>
                <wp:wrapTopAndBottom/>
                <wp:docPr id="2"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43826" id="Freeform 3" o:spid="_x0000_s1026" style="position:absolute;margin-left:70.55pt;margin-top:14.75pt;width:470.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" path="m,l9418,e" filled="f" strokeweight=".48pt">
                <v:path arrowok="t" o:connecttype="custom" o:connectlocs="0,0;5980430,0" o:connectangles="0,0"/>
                <w10:wrap type="topAndBottom" anchorx="page"/>
              </v:shape>
            </w:pict>
          </mc:Fallback>
        </mc:AlternateContent>
      </w:r>
    </w:p>
    <w:p w:rsidR="00950473" w:rsidRDefault="00950473">
      <w:pPr>
        <w:pStyle w:val="BodyText"/>
        <w:spacing w:before="9"/>
        <w:rPr>
          <w:rFonts w:ascii="Arial"/>
          <w:sz w:val="14"/>
        </w:rPr>
      </w:pPr>
    </w:p>
    <w:p w:rsidR="00950473" w:rsidRDefault="003603ED">
      <w:pPr>
        <w:spacing w:before="93"/>
        <w:ind w:left="140"/>
        <w:rPr>
          <w:rFonts w:ascii="Arial"/>
          <w:b/>
        </w:rPr>
      </w:pPr>
      <w:r>
        <w:rPr>
          <w:rFonts w:ascii="Arial"/>
          <w:b/>
        </w:rPr>
        <w:t>Background information:</w:t>
      </w:r>
    </w:p>
    <w:p w:rsidR="00950473" w:rsidRDefault="00950473">
      <w:pPr>
        <w:pStyle w:val="BodyText"/>
        <w:rPr>
          <w:rFonts w:ascii="Arial"/>
          <w:b/>
          <w:sz w:val="25"/>
        </w:rPr>
      </w:pPr>
    </w:p>
    <w:p w:rsidR="00950473" w:rsidRDefault="003603ED">
      <w:pPr>
        <w:ind w:left="140" w:right="234" w:hanging="1"/>
        <w:rPr>
          <w:rFonts w:ascii="Arial" w:hAnsi="Arial"/>
        </w:rPr>
      </w:pPr>
      <w:r>
        <w:rPr>
          <w:rFonts w:ascii="Arial" w:hAnsi="Arial"/>
        </w:rPr>
        <w:t xml:space="preserve">The new tuition and fees regulations are being presented by the University for approval by the Board. After the full Board of Trustees has voted to adopt the select regulations (tuition and fee regulations) and the Board of Trustees has provided copies to </w:t>
      </w:r>
      <w:r>
        <w:rPr>
          <w:rFonts w:ascii="Arial" w:hAnsi="Arial"/>
        </w:rPr>
        <w:t>the Board of Governors, the select regulations will become effective upon the Board of Governors’ approval or 60 days after being provided to the Board of Governors, whichever occurs first.</w:t>
      </w:r>
    </w:p>
    <w:p w:rsidR="00950473" w:rsidRDefault="00950473">
      <w:pPr>
        <w:pStyle w:val="BodyText"/>
        <w:spacing w:before="10"/>
        <w:rPr>
          <w:rFonts w:ascii="Arial"/>
          <w:sz w:val="21"/>
        </w:rPr>
      </w:pPr>
    </w:p>
    <w:p w:rsidR="00950473" w:rsidRDefault="003603ED">
      <w:pPr>
        <w:ind w:left="140" w:right="136" w:hanging="1"/>
        <w:rPr>
          <w:rFonts w:ascii="Arial" w:hAnsi="Arial"/>
        </w:rPr>
      </w:pPr>
      <w:r>
        <w:rPr>
          <w:rFonts w:ascii="Arial" w:hAnsi="Arial"/>
        </w:rPr>
        <w:t>These Tuition and Fees regulations include tuition and out-of-state fees, student fees, on- campus housing rates and the child development center rates previously approved by the Board of Trustees. They also incorporate the miscellaneous fees approved by t</w:t>
      </w:r>
      <w:r>
        <w:rPr>
          <w:rFonts w:ascii="Arial" w:hAnsi="Arial"/>
        </w:rPr>
        <w:t>he President in accord with the delegation provided him by the Board of Trustees. The new regulations recognize the role of the Board of Trustees in setting tuition and the various fees named. The regulation also recognizes the State’s contributions to app</w:t>
      </w:r>
      <w:r>
        <w:rPr>
          <w:rFonts w:ascii="Arial" w:hAnsi="Arial"/>
        </w:rPr>
        <w:t>rove childcare.</w:t>
      </w:r>
    </w:p>
    <w:p w:rsidR="00950473" w:rsidRDefault="00950473">
      <w:pPr>
        <w:pStyle w:val="BodyText"/>
        <w:rPr>
          <w:rFonts w:ascii="Arial"/>
          <w:sz w:val="22"/>
        </w:rPr>
      </w:pPr>
    </w:p>
    <w:p w:rsidR="00950473" w:rsidRDefault="003603ED">
      <w:pPr>
        <w:ind w:left="141" w:right="380"/>
        <w:rPr>
          <w:rFonts w:ascii="Arial"/>
        </w:rPr>
      </w:pPr>
      <w:r>
        <w:rPr>
          <w:rFonts w:ascii="Arial"/>
        </w:rPr>
        <w:t>Approval of this regulation also repeals the old Tuition and Fees rules previously published as Chapter 6C9-8 in the Administrative Code.</w:t>
      </w:r>
    </w:p>
    <w:p w:rsidR="00950473" w:rsidRDefault="00950473">
      <w:pPr>
        <w:pStyle w:val="BodyText"/>
        <w:rPr>
          <w:rFonts w:ascii="Arial"/>
          <w:sz w:val="20"/>
        </w:rPr>
      </w:pPr>
    </w:p>
    <w:p w:rsidR="00950473" w:rsidRDefault="003603ED">
      <w:pPr>
        <w:pStyle w:val="BodyText"/>
        <w:spacing w:before="6"/>
        <w:rPr>
          <w:rFonts w:ascii="Arial"/>
          <w:sz w:val="11"/>
        </w:rPr>
      </w:pPr>
      <w:r>
        <w:rPr>
          <w:noProof/>
        </w:rPr>
        <mc:AlternateContent>
          <mc:Choice Requires="wps">
            <w:drawing>
              <wp:anchor distT="0" distB="0" distL="0" distR="0" simplePos="0" relativeHeight="251660288" behindDoc="1" locked="0" layoutInCell="1" allowOverlap="1">
                <wp:simplePos x="0" y="0"/>
                <wp:positionH relativeFrom="page">
                  <wp:posOffset>895985</wp:posOffset>
                </wp:positionH>
                <wp:positionV relativeFrom="paragraph">
                  <wp:posOffset>112395</wp:posOffset>
                </wp:positionV>
                <wp:extent cx="5980430" cy="1270"/>
                <wp:effectExtent l="0" t="0" r="0" b="0"/>
                <wp:wrapTopAndBottom/>
                <wp:docPr id="1"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D575" id="Freeform 2" o:spid="_x0000_s1026" style="position:absolute;margin-left:70.55pt;margin-top:8.85pt;width:470.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" path="m,l9418,e" filled="f" strokeweight=".16969mm">
                <v:path arrowok="t" o:connecttype="custom" o:connectlocs="0,0;5980430,0" o:connectangles="0,0"/>
                <w10:wrap type="topAndBottom" anchorx="page"/>
              </v:shape>
            </w:pict>
          </mc:Fallback>
        </mc:AlternateContent>
      </w:r>
    </w:p>
    <w:p w:rsidR="00950473" w:rsidRDefault="00950473">
      <w:pPr>
        <w:pStyle w:val="BodyText"/>
        <w:spacing w:before="10"/>
        <w:rPr>
          <w:rFonts w:ascii="Arial"/>
          <w:sz w:val="21"/>
        </w:rPr>
      </w:pPr>
    </w:p>
    <w:p w:rsidR="00950473" w:rsidRDefault="003603ED">
      <w:pPr>
        <w:spacing w:before="93"/>
        <w:ind w:left="140"/>
        <w:rPr>
          <w:rFonts w:ascii="Arial"/>
        </w:rPr>
      </w:pPr>
      <w:r>
        <w:rPr>
          <w:rFonts w:ascii="Arial"/>
          <w:b/>
        </w:rPr>
        <w:t xml:space="preserve">Attachments: </w:t>
      </w:r>
      <w:r>
        <w:rPr>
          <w:rFonts w:ascii="Arial"/>
        </w:rPr>
        <w:t>Proposed Regulations</w:t>
      </w:r>
    </w:p>
    <w:p w:rsidR="00950473" w:rsidRDefault="00950473">
      <w:pPr>
        <w:rPr>
          <w:rFonts w:ascii="Arial"/>
        </w:rPr>
        <w:sectPr w:rsidR="00950473">
          <w:type w:val="continuous"/>
          <w:pgSz w:w="12240" w:h="15840"/>
          <w:pgMar w:top="1360" w:right="1300" w:bottom="280" w:left="1300" w:header="720" w:footer="720" w:gutter="0"/>
          <w:cols w:space="720"/>
        </w:sectPr>
      </w:pPr>
    </w:p>
    <w:p w:rsidR="00950473" w:rsidRDefault="003603ED">
      <w:pPr>
        <w:spacing w:before="77"/>
        <w:ind w:left="7819" w:right="494" w:firstLine="648"/>
        <w:jc w:val="right"/>
        <w:rPr>
          <w:rFonts w:ascii="Arial"/>
        </w:rPr>
      </w:pPr>
      <w:bookmarkStart w:id="5" w:name="06_BOT_07-25-06_Item_06_Schedule_of_Tuit"/>
      <w:bookmarkEnd w:id="5"/>
      <w:r>
        <w:rPr>
          <w:rFonts w:ascii="Arial"/>
        </w:rPr>
        <w:lastRenderedPageBreak/>
        <w:t>Item: 6</w:t>
      </w:r>
      <w:r>
        <w:rPr>
          <w:rFonts w:ascii="Arial"/>
        </w:rPr>
        <w:t xml:space="preserve"> </w:t>
      </w:r>
      <w:r>
        <w:rPr>
          <w:rFonts w:ascii="Arial"/>
        </w:rPr>
        <w:t>Attachment A</w:t>
      </w:r>
    </w:p>
    <w:p w:rsidR="00950473" w:rsidRDefault="00950473">
      <w:pPr>
        <w:pStyle w:val="BodyText"/>
        <w:spacing w:before="11"/>
        <w:rPr>
          <w:rFonts w:ascii="Arial"/>
          <w:sz w:val="19"/>
        </w:rPr>
      </w:pPr>
    </w:p>
    <w:p w:rsidR="00950473" w:rsidRPr="003603ED" w:rsidRDefault="003603ED" w:rsidP="003603ED">
      <w:pPr>
        <w:pStyle w:val="Heading1"/>
      </w:pPr>
      <w:bookmarkStart w:id="6" w:name="_GoBack"/>
      <w:bookmarkEnd w:id="6"/>
      <w:r w:rsidRPr="003603ED">
        <w:t>NOTICE OF REGULATION AMENDMENT</w:t>
      </w:r>
    </w:p>
    <w:p w:rsidR="00950473" w:rsidRPr="003603ED" w:rsidRDefault="003603ED" w:rsidP="003603ED">
      <w:pPr>
        <w:jc w:val="center"/>
        <w:rPr>
          <w:b/>
          <w:bCs/>
          <w:sz w:val="28"/>
          <w:szCs w:val="28"/>
        </w:rPr>
      </w:pPr>
      <w:r w:rsidRPr="003603ED">
        <w:rPr>
          <w:b/>
          <w:bCs/>
          <w:sz w:val="28"/>
          <w:szCs w:val="28"/>
        </w:rPr>
        <w:t>June 23, 2006</w:t>
      </w:r>
    </w:p>
    <w:p w:rsidR="00950473" w:rsidRDefault="00950473">
      <w:pPr>
        <w:pStyle w:val="BodyText"/>
        <w:rPr>
          <w:rFonts w:ascii="Arial"/>
          <w:b/>
          <w:sz w:val="26"/>
        </w:rPr>
      </w:pPr>
    </w:p>
    <w:p w:rsidR="00950473" w:rsidRDefault="003603ED">
      <w:pPr>
        <w:spacing w:before="204"/>
        <w:ind w:left="500"/>
        <w:rPr>
          <w:rFonts w:ascii="Arial"/>
          <w:b/>
        </w:rPr>
      </w:pPr>
      <w:r>
        <w:rPr>
          <w:rFonts w:ascii="Arial"/>
          <w:b/>
        </w:rPr>
        <w:t>DEPARTMENT OF EDUCATION</w:t>
      </w:r>
    </w:p>
    <w:p w:rsidR="00950473" w:rsidRDefault="003603ED">
      <w:pPr>
        <w:spacing w:before="4"/>
        <w:ind w:left="500" w:right="6577"/>
        <w:rPr>
          <w:rFonts w:ascii="Arial"/>
        </w:rPr>
      </w:pPr>
      <w:r>
        <w:rPr>
          <w:rFonts w:ascii="Arial"/>
        </w:rPr>
        <w:t>Division of Universities University of North Florida</w:t>
      </w:r>
    </w:p>
    <w:p w:rsidR="00950473" w:rsidRDefault="00950473">
      <w:pPr>
        <w:pStyle w:val="BodyText"/>
        <w:spacing w:before="8"/>
        <w:rPr>
          <w:rFonts w:ascii="Arial"/>
          <w:sz w:val="21"/>
        </w:rPr>
      </w:pPr>
    </w:p>
    <w:p w:rsidR="00950473" w:rsidRDefault="003603ED">
      <w:pPr>
        <w:spacing w:before="1"/>
        <w:ind w:left="500"/>
        <w:rPr>
          <w:rFonts w:ascii="Arial"/>
          <w:b/>
        </w:rPr>
      </w:pPr>
      <w:r>
        <w:rPr>
          <w:rFonts w:ascii="Arial"/>
          <w:b/>
        </w:rPr>
        <w:t>REGULATION TITLE:</w:t>
      </w:r>
    </w:p>
    <w:p w:rsidR="00950473" w:rsidRDefault="003603ED">
      <w:pPr>
        <w:spacing w:before="1"/>
        <w:ind w:left="500"/>
        <w:rPr>
          <w:rFonts w:ascii="Arial"/>
        </w:rPr>
      </w:pPr>
      <w:r>
        <w:rPr>
          <w:rFonts w:ascii="Arial"/>
        </w:rPr>
        <w:t>Schedule of Tuition and Fees</w:t>
      </w:r>
    </w:p>
    <w:p w:rsidR="00950473" w:rsidRDefault="00950473">
      <w:pPr>
        <w:pStyle w:val="BodyText"/>
        <w:spacing w:before="9"/>
        <w:rPr>
          <w:rFonts w:ascii="Arial"/>
          <w:sz w:val="21"/>
        </w:rPr>
      </w:pPr>
    </w:p>
    <w:p w:rsidR="00950473" w:rsidRDefault="003603ED">
      <w:pPr>
        <w:ind w:left="500"/>
        <w:rPr>
          <w:rFonts w:ascii="Arial"/>
          <w:b/>
        </w:rPr>
      </w:pPr>
      <w:r>
        <w:rPr>
          <w:rFonts w:ascii="Arial"/>
          <w:b/>
        </w:rPr>
        <w:t>REGULATION NO.:</w:t>
      </w:r>
    </w:p>
    <w:p w:rsidR="00950473" w:rsidRDefault="003603ED">
      <w:pPr>
        <w:spacing w:before="4"/>
        <w:ind w:left="500"/>
        <w:rPr>
          <w:rFonts w:ascii="Arial"/>
        </w:rPr>
      </w:pPr>
      <w:r>
        <w:rPr>
          <w:rFonts w:ascii="Arial"/>
        </w:rPr>
        <w:t>8.1001</w:t>
      </w:r>
    </w:p>
    <w:p w:rsidR="00950473" w:rsidRDefault="00950473">
      <w:pPr>
        <w:pStyle w:val="BodyText"/>
        <w:spacing w:before="7"/>
        <w:rPr>
          <w:rFonts w:ascii="Arial"/>
          <w:sz w:val="21"/>
        </w:rPr>
      </w:pPr>
    </w:p>
    <w:p w:rsidR="00950473" w:rsidRDefault="003603ED">
      <w:pPr>
        <w:ind w:left="499"/>
        <w:rPr>
          <w:rFonts w:ascii="Arial"/>
          <w:b/>
        </w:rPr>
      </w:pPr>
      <w:r>
        <w:rPr>
          <w:rFonts w:ascii="Arial"/>
          <w:b/>
        </w:rPr>
        <w:t>SUMMARY:</w:t>
      </w:r>
    </w:p>
    <w:p w:rsidR="00950473" w:rsidRDefault="003603ED">
      <w:pPr>
        <w:spacing w:before="4"/>
        <w:ind w:left="499" w:right="712"/>
        <w:jc w:val="both"/>
        <w:rPr>
          <w:rFonts w:ascii="Arial"/>
        </w:rPr>
      </w:pPr>
      <w:r>
        <w:rPr>
          <w:rFonts w:ascii="Arial"/>
        </w:rPr>
        <w:t>The proposed regulation is being amended to set forth current tuition and fee amounts per credit hour that students will be assessed during the Fall 2006/Spring and Summer 2007 terms.</w:t>
      </w:r>
    </w:p>
    <w:p w:rsidR="00950473" w:rsidRDefault="00950473">
      <w:pPr>
        <w:pStyle w:val="BodyText"/>
        <w:spacing w:before="7"/>
        <w:rPr>
          <w:rFonts w:ascii="Arial"/>
          <w:sz w:val="21"/>
        </w:rPr>
      </w:pPr>
    </w:p>
    <w:p w:rsidR="00950473" w:rsidRDefault="003603ED">
      <w:pPr>
        <w:ind w:left="499"/>
        <w:rPr>
          <w:rFonts w:ascii="Arial"/>
          <w:b/>
        </w:rPr>
      </w:pPr>
      <w:r>
        <w:rPr>
          <w:rFonts w:ascii="Arial"/>
          <w:b/>
        </w:rPr>
        <w:t>FULL TEXT:</w:t>
      </w:r>
    </w:p>
    <w:p w:rsidR="00950473" w:rsidRDefault="003603ED">
      <w:pPr>
        <w:spacing w:before="4"/>
        <w:ind w:left="499"/>
        <w:jc w:val="both"/>
        <w:rPr>
          <w:rFonts w:ascii="Arial"/>
        </w:rPr>
      </w:pPr>
      <w:r>
        <w:rPr>
          <w:rFonts w:ascii="Arial"/>
        </w:rPr>
        <w:t xml:space="preserve">The full text of the regulation amendment being proposed is </w:t>
      </w:r>
      <w:r>
        <w:rPr>
          <w:rFonts w:ascii="Arial"/>
        </w:rPr>
        <w:t>attached.</w:t>
      </w:r>
    </w:p>
    <w:p w:rsidR="00950473" w:rsidRDefault="00950473">
      <w:pPr>
        <w:pStyle w:val="BodyText"/>
        <w:spacing w:before="9"/>
        <w:rPr>
          <w:rFonts w:ascii="Arial"/>
          <w:sz w:val="21"/>
        </w:rPr>
      </w:pPr>
    </w:p>
    <w:p w:rsidR="00950473" w:rsidRDefault="003603ED">
      <w:pPr>
        <w:spacing w:before="1"/>
        <w:ind w:left="500"/>
        <w:rPr>
          <w:rFonts w:ascii="Arial"/>
          <w:b/>
        </w:rPr>
      </w:pPr>
      <w:r>
        <w:rPr>
          <w:rFonts w:ascii="Arial"/>
          <w:b/>
        </w:rPr>
        <w:t>AUTHORITY:</w:t>
      </w:r>
    </w:p>
    <w:p w:rsidR="00950473" w:rsidRDefault="003603ED">
      <w:pPr>
        <w:spacing w:before="1"/>
        <w:ind w:left="500" w:right="2075"/>
        <w:rPr>
          <w:rFonts w:ascii="Arial"/>
        </w:rPr>
      </w:pPr>
      <w:r>
        <w:rPr>
          <w:rFonts w:ascii="Arial"/>
        </w:rPr>
        <w:t>Resolution of the Florida Board of Governors dated January 7, 2003 and Florida Statutes and 1001.74 (10)(11) and 1009.24.</w:t>
      </w:r>
    </w:p>
    <w:p w:rsidR="00950473" w:rsidRDefault="00950473">
      <w:pPr>
        <w:pStyle w:val="BodyText"/>
        <w:spacing w:before="8"/>
        <w:rPr>
          <w:rFonts w:ascii="Arial"/>
          <w:sz w:val="21"/>
        </w:rPr>
      </w:pPr>
    </w:p>
    <w:p w:rsidR="00950473" w:rsidRDefault="003603ED">
      <w:pPr>
        <w:ind w:left="500"/>
        <w:rPr>
          <w:rFonts w:ascii="Arial"/>
          <w:b/>
        </w:rPr>
      </w:pPr>
      <w:r>
        <w:rPr>
          <w:rFonts w:ascii="Arial"/>
          <w:b/>
        </w:rPr>
        <w:t>UNIVERSITY OFFICIAL INITIATING THE PROPOSED REGULATION AMENDMENT:</w:t>
      </w:r>
    </w:p>
    <w:p w:rsidR="00950473" w:rsidRDefault="003603ED">
      <w:pPr>
        <w:spacing w:before="4"/>
        <w:ind w:left="500"/>
        <w:jc w:val="both"/>
        <w:rPr>
          <w:rFonts w:ascii="Arial"/>
        </w:rPr>
      </w:pPr>
      <w:r>
        <w:rPr>
          <w:rFonts w:ascii="Arial"/>
        </w:rPr>
        <w:t xml:space="preserve">Thomas </w:t>
      </w:r>
      <w:proofErr w:type="spellStart"/>
      <w:r>
        <w:rPr>
          <w:rFonts w:ascii="Arial"/>
        </w:rPr>
        <w:t>Serwatka</w:t>
      </w:r>
      <w:proofErr w:type="spellEnd"/>
      <w:r>
        <w:rPr>
          <w:rFonts w:ascii="Arial"/>
        </w:rPr>
        <w:t xml:space="preserve">, Vice President and Chief of </w:t>
      </w:r>
      <w:r>
        <w:rPr>
          <w:rFonts w:ascii="Arial"/>
        </w:rPr>
        <w:t>Staff</w:t>
      </w:r>
    </w:p>
    <w:p w:rsidR="00950473" w:rsidRDefault="00950473">
      <w:pPr>
        <w:pStyle w:val="BodyText"/>
        <w:spacing w:before="9"/>
        <w:rPr>
          <w:rFonts w:ascii="Arial"/>
          <w:sz w:val="21"/>
        </w:rPr>
      </w:pPr>
    </w:p>
    <w:p w:rsidR="00950473" w:rsidRDefault="003603ED">
      <w:pPr>
        <w:ind w:left="500" w:right="956" w:hanging="1"/>
        <w:rPr>
          <w:rFonts w:ascii="Arial"/>
          <w:b/>
        </w:rPr>
      </w:pPr>
      <w:r>
        <w:rPr>
          <w:rFonts w:ascii="Arial"/>
          <w:b/>
        </w:rPr>
        <w:t>INDIVIDUAL TO BE CONTACTED REGARDING THE PROPOSED REGULATION AMENDMENT:</w:t>
      </w:r>
    </w:p>
    <w:p w:rsidR="00950473" w:rsidRDefault="003603ED">
      <w:pPr>
        <w:spacing w:before="2"/>
        <w:ind w:left="500" w:right="747"/>
        <w:jc w:val="both"/>
        <w:rPr>
          <w:rFonts w:ascii="Arial"/>
        </w:rPr>
      </w:pPr>
      <w:r>
        <w:rPr>
          <w:rFonts w:ascii="Arial"/>
        </w:rPr>
        <w:t xml:space="preserve">Stephanie Howell, Paralegal, Office of the General Counsel, </w:t>
      </w:r>
      <w:hyperlink r:id="rId7">
        <w:r>
          <w:rPr>
            <w:rFonts w:ascii="Arial"/>
            <w:color w:val="0000FF"/>
            <w:u w:val="single" w:color="0000FF"/>
          </w:rPr>
          <w:t>showell@unf.edu</w:t>
        </w:r>
        <w:r>
          <w:rPr>
            <w:rFonts w:ascii="Arial"/>
          </w:rPr>
          <w:t xml:space="preserve">, </w:t>
        </w:r>
      </w:hyperlink>
      <w:r>
        <w:rPr>
          <w:rFonts w:ascii="Arial"/>
        </w:rPr>
        <w:t>phone (904)620-2828; fax (904)620-1044; Building 1, Room 2400, 4567 St. Johns Bluff Road South, Jacksonville, FL 32224.</w:t>
      </w:r>
    </w:p>
    <w:p w:rsidR="00950473" w:rsidRDefault="00950473">
      <w:pPr>
        <w:pStyle w:val="BodyText"/>
        <w:rPr>
          <w:rFonts w:ascii="Arial"/>
        </w:rPr>
      </w:pPr>
    </w:p>
    <w:p w:rsidR="00950473" w:rsidRDefault="00950473">
      <w:pPr>
        <w:pStyle w:val="BodyText"/>
        <w:rPr>
          <w:rFonts w:ascii="Arial"/>
          <w:sz w:val="20"/>
        </w:rPr>
      </w:pPr>
    </w:p>
    <w:p w:rsidR="00950473" w:rsidRDefault="003603ED">
      <w:pPr>
        <w:ind w:left="499" w:right="540"/>
        <w:rPr>
          <w:rFonts w:ascii="Arial"/>
          <w:b/>
          <w:i/>
        </w:rPr>
      </w:pPr>
      <w:r>
        <w:rPr>
          <w:rFonts w:ascii="Arial"/>
          <w:b/>
          <w:i/>
        </w:rPr>
        <w:t>Any comments regarding the amendment of the regulation must be sent in writing to the contact person on or before July 7, 2006 to rece</w:t>
      </w:r>
      <w:r>
        <w:rPr>
          <w:rFonts w:ascii="Arial"/>
          <w:b/>
          <w:i/>
        </w:rPr>
        <w:t>ive full consideration.</w:t>
      </w:r>
    </w:p>
    <w:p w:rsidR="00950473" w:rsidRDefault="00950473">
      <w:pPr>
        <w:rPr>
          <w:rFonts w:ascii="Arial"/>
        </w:rPr>
        <w:sectPr w:rsidR="00950473">
          <w:pgSz w:w="12240" w:h="15840"/>
          <w:pgMar w:top="1360" w:right="1300" w:bottom="280" w:left="1300" w:header="720" w:footer="720" w:gutter="0"/>
          <w:cols w:space="720"/>
        </w:sectPr>
      </w:pPr>
    </w:p>
    <w:p w:rsidR="00950473" w:rsidRPr="003603ED" w:rsidRDefault="003603ED" w:rsidP="003603ED">
      <w:pPr>
        <w:pStyle w:val="Heading2"/>
      </w:pPr>
      <w:r w:rsidRPr="003603ED">
        <w:lastRenderedPageBreak/>
        <w:t>8.1001 Schedule of Tuition and Fees.</w:t>
      </w:r>
    </w:p>
    <w:p w:rsidR="00950473" w:rsidRDefault="00950473">
      <w:pPr>
        <w:pStyle w:val="BodyText"/>
        <w:spacing w:before="5"/>
        <w:rPr>
          <w:b/>
          <w:sz w:val="27"/>
        </w:rPr>
      </w:pPr>
    </w:p>
    <w:p w:rsidR="00950473" w:rsidRDefault="003603ED">
      <w:pPr>
        <w:pStyle w:val="ListParagraph"/>
        <w:numPr>
          <w:ilvl w:val="0"/>
          <w:numId w:val="5"/>
        </w:numPr>
        <w:tabs>
          <w:tab w:val="left" w:pos="1559"/>
        </w:tabs>
        <w:spacing w:line="480" w:lineRule="auto"/>
        <w:ind w:right="730" w:firstLine="720"/>
        <w:rPr>
          <w:sz w:val="24"/>
        </w:rPr>
      </w:pPr>
      <w:r>
        <w:rPr>
          <w:sz w:val="24"/>
        </w:rPr>
        <w:t>Tuition shall be defined as fees assessed to a student for enrollment in credit courses at the University of North Florida, in accordance with law, rules and policies</w:t>
      </w:r>
      <w:r>
        <w:rPr>
          <w:spacing w:val="-21"/>
          <w:sz w:val="24"/>
        </w:rPr>
        <w:t xml:space="preserve"> </w:t>
      </w:r>
      <w:r>
        <w:rPr>
          <w:sz w:val="24"/>
        </w:rPr>
        <w:t xml:space="preserve">of the Board of Governors and the University of North Florida Board of Trustees. Tuition </w:t>
      </w:r>
      <w:r>
        <w:rPr>
          <w:sz w:val="24"/>
        </w:rPr>
        <w:t>consists of the following fees, depending on whether a student is a resident or non- resident:</w:t>
      </w:r>
    </w:p>
    <w:p w:rsidR="00950473" w:rsidRDefault="003603ED">
      <w:pPr>
        <w:pStyle w:val="ListParagraph"/>
        <w:numPr>
          <w:ilvl w:val="1"/>
          <w:numId w:val="5"/>
        </w:numPr>
        <w:tabs>
          <w:tab w:val="left" w:pos="1604"/>
        </w:tabs>
        <w:spacing w:before="1" w:line="480" w:lineRule="auto"/>
        <w:ind w:right="802" w:firstLine="720"/>
        <w:rPr>
          <w:sz w:val="24"/>
        </w:rPr>
      </w:pPr>
      <w:r>
        <w:rPr>
          <w:sz w:val="24"/>
        </w:rPr>
        <w:t>Resident tuition, comprised of the following, shall be defined as the fees charged an enrolled student who qualifies as a Florida resident as defined in</w:t>
      </w:r>
      <w:r>
        <w:rPr>
          <w:spacing w:val="-18"/>
          <w:sz w:val="24"/>
        </w:rPr>
        <w:t xml:space="preserve"> </w:t>
      </w:r>
      <w:r>
        <w:rPr>
          <w:sz w:val="24"/>
        </w:rPr>
        <w:t>applicab</w:t>
      </w:r>
      <w:r>
        <w:rPr>
          <w:sz w:val="24"/>
        </w:rPr>
        <w:t>le Florida laws and regulations:</w:t>
      </w:r>
    </w:p>
    <w:p w:rsidR="00950473" w:rsidRDefault="003603ED">
      <w:pPr>
        <w:pStyle w:val="ListParagraph"/>
        <w:numPr>
          <w:ilvl w:val="0"/>
          <w:numId w:val="4"/>
        </w:numPr>
        <w:tabs>
          <w:tab w:val="left" w:pos="1939"/>
          <w:tab w:val="left" w:pos="1940"/>
        </w:tabs>
        <w:rPr>
          <w:sz w:val="24"/>
        </w:rPr>
      </w:pPr>
      <w:r>
        <w:rPr>
          <w:sz w:val="24"/>
        </w:rPr>
        <w:t>Tuition;</w:t>
      </w:r>
    </w:p>
    <w:p w:rsidR="00950473" w:rsidRDefault="00950473">
      <w:pPr>
        <w:pStyle w:val="BodyText"/>
      </w:pPr>
    </w:p>
    <w:p w:rsidR="00950473" w:rsidRDefault="003603ED">
      <w:pPr>
        <w:pStyle w:val="ListParagraph"/>
        <w:numPr>
          <w:ilvl w:val="0"/>
          <w:numId w:val="4"/>
        </w:numPr>
        <w:tabs>
          <w:tab w:val="left" w:pos="1939"/>
          <w:tab w:val="left" w:pos="1940"/>
        </w:tabs>
        <w:ind w:hanging="721"/>
        <w:rPr>
          <w:sz w:val="24"/>
        </w:rPr>
      </w:pPr>
      <w:r>
        <w:rPr>
          <w:sz w:val="24"/>
        </w:rPr>
        <w:t>Student Financial Aid</w:t>
      </w:r>
      <w:r>
        <w:rPr>
          <w:spacing w:val="-1"/>
          <w:sz w:val="24"/>
        </w:rPr>
        <w:t xml:space="preserve"> </w:t>
      </w:r>
      <w:r>
        <w:rPr>
          <w:sz w:val="24"/>
        </w:rPr>
        <w:t>Fee;</w:t>
      </w:r>
    </w:p>
    <w:p w:rsidR="00950473" w:rsidRDefault="00950473">
      <w:pPr>
        <w:pStyle w:val="BodyText"/>
      </w:pPr>
    </w:p>
    <w:p w:rsidR="00950473" w:rsidRDefault="003603ED">
      <w:pPr>
        <w:pStyle w:val="ListParagraph"/>
        <w:numPr>
          <w:ilvl w:val="0"/>
          <w:numId w:val="4"/>
        </w:numPr>
        <w:tabs>
          <w:tab w:val="left" w:pos="1939"/>
          <w:tab w:val="left" w:pos="1940"/>
        </w:tabs>
        <w:rPr>
          <w:sz w:val="24"/>
        </w:rPr>
      </w:pPr>
      <w:r>
        <w:rPr>
          <w:sz w:val="24"/>
        </w:rPr>
        <w:t>Capital Improvement Trust Fund</w:t>
      </w:r>
      <w:r>
        <w:rPr>
          <w:spacing w:val="1"/>
          <w:sz w:val="24"/>
        </w:rPr>
        <w:t xml:space="preserve"> </w:t>
      </w:r>
      <w:r>
        <w:rPr>
          <w:sz w:val="24"/>
        </w:rPr>
        <w:t>Fee;</w:t>
      </w:r>
    </w:p>
    <w:p w:rsidR="00950473" w:rsidRDefault="00950473">
      <w:pPr>
        <w:pStyle w:val="BodyText"/>
      </w:pPr>
    </w:p>
    <w:p w:rsidR="00950473" w:rsidRDefault="003603ED">
      <w:pPr>
        <w:pStyle w:val="ListParagraph"/>
        <w:numPr>
          <w:ilvl w:val="0"/>
          <w:numId w:val="4"/>
        </w:numPr>
        <w:tabs>
          <w:tab w:val="left" w:pos="1939"/>
          <w:tab w:val="left" w:pos="1940"/>
        </w:tabs>
        <w:ind w:hanging="721"/>
        <w:rPr>
          <w:sz w:val="24"/>
        </w:rPr>
      </w:pPr>
      <w:r>
        <w:rPr>
          <w:sz w:val="24"/>
        </w:rPr>
        <w:t>Building</w:t>
      </w:r>
      <w:r>
        <w:rPr>
          <w:spacing w:val="-1"/>
          <w:sz w:val="24"/>
        </w:rPr>
        <w:t xml:space="preserve"> </w:t>
      </w:r>
      <w:r>
        <w:rPr>
          <w:sz w:val="24"/>
        </w:rPr>
        <w:t>Fee;</w:t>
      </w:r>
    </w:p>
    <w:p w:rsidR="00950473" w:rsidRDefault="00950473">
      <w:pPr>
        <w:pStyle w:val="BodyText"/>
      </w:pPr>
    </w:p>
    <w:p w:rsidR="00950473" w:rsidRDefault="003603ED">
      <w:pPr>
        <w:pStyle w:val="ListParagraph"/>
        <w:numPr>
          <w:ilvl w:val="0"/>
          <w:numId w:val="4"/>
        </w:numPr>
        <w:tabs>
          <w:tab w:val="left" w:pos="1939"/>
          <w:tab w:val="left" w:pos="1940"/>
        </w:tabs>
        <w:spacing w:line="480" w:lineRule="auto"/>
        <w:ind w:left="499" w:right="600" w:firstLine="720"/>
        <w:rPr>
          <w:sz w:val="24"/>
        </w:rPr>
      </w:pPr>
      <w:r>
        <w:rPr>
          <w:sz w:val="24"/>
        </w:rPr>
        <w:t>Health Fee (which includes the Clinic, Counseling, Wellness and</w:t>
      </w:r>
      <w:r>
        <w:rPr>
          <w:spacing w:val="-14"/>
          <w:sz w:val="24"/>
        </w:rPr>
        <w:t xml:space="preserve"> </w:t>
      </w:r>
      <w:r>
        <w:rPr>
          <w:sz w:val="24"/>
        </w:rPr>
        <w:t>Medical Compliance</w:t>
      </w:r>
      <w:r>
        <w:rPr>
          <w:spacing w:val="-2"/>
          <w:sz w:val="24"/>
        </w:rPr>
        <w:t xml:space="preserve"> </w:t>
      </w:r>
      <w:r>
        <w:rPr>
          <w:sz w:val="24"/>
        </w:rPr>
        <w:t>Fees);</w:t>
      </w:r>
    </w:p>
    <w:p w:rsidR="00950473" w:rsidRDefault="003603ED">
      <w:pPr>
        <w:pStyle w:val="ListParagraph"/>
        <w:numPr>
          <w:ilvl w:val="0"/>
          <w:numId w:val="4"/>
        </w:numPr>
        <w:tabs>
          <w:tab w:val="left" w:pos="1939"/>
          <w:tab w:val="left" w:pos="1940"/>
        </w:tabs>
        <w:ind w:hanging="721"/>
        <w:rPr>
          <w:sz w:val="24"/>
        </w:rPr>
      </w:pPr>
      <w:r>
        <w:rPr>
          <w:sz w:val="24"/>
        </w:rPr>
        <w:t>Athletic Fee;</w:t>
      </w:r>
      <w:r>
        <w:rPr>
          <w:spacing w:val="-2"/>
          <w:sz w:val="24"/>
        </w:rPr>
        <w:t xml:space="preserve"> </w:t>
      </w:r>
      <w:r>
        <w:rPr>
          <w:sz w:val="24"/>
        </w:rPr>
        <w:t>and</w:t>
      </w:r>
    </w:p>
    <w:p w:rsidR="00950473" w:rsidRDefault="00950473">
      <w:pPr>
        <w:pStyle w:val="BodyText"/>
      </w:pPr>
    </w:p>
    <w:p w:rsidR="00950473" w:rsidRDefault="003603ED">
      <w:pPr>
        <w:pStyle w:val="ListParagraph"/>
        <w:numPr>
          <w:ilvl w:val="0"/>
          <w:numId w:val="4"/>
        </w:numPr>
        <w:tabs>
          <w:tab w:val="left" w:pos="1939"/>
          <w:tab w:val="left" w:pos="1940"/>
        </w:tabs>
        <w:ind w:hanging="721"/>
        <w:rPr>
          <w:sz w:val="24"/>
        </w:rPr>
      </w:pPr>
      <w:r>
        <w:rPr>
          <w:sz w:val="24"/>
        </w:rPr>
        <w:t>Activity and Service</w:t>
      </w:r>
      <w:r>
        <w:rPr>
          <w:spacing w:val="-5"/>
          <w:sz w:val="24"/>
        </w:rPr>
        <w:t xml:space="preserve"> </w:t>
      </w:r>
      <w:r>
        <w:rPr>
          <w:sz w:val="24"/>
        </w:rPr>
        <w:t>Fee.</w:t>
      </w:r>
    </w:p>
    <w:p w:rsidR="00950473" w:rsidRDefault="00950473">
      <w:pPr>
        <w:pStyle w:val="BodyText"/>
      </w:pPr>
    </w:p>
    <w:p w:rsidR="00950473" w:rsidRDefault="003603ED">
      <w:pPr>
        <w:pStyle w:val="ListParagraph"/>
        <w:numPr>
          <w:ilvl w:val="1"/>
          <w:numId w:val="5"/>
        </w:numPr>
        <w:tabs>
          <w:tab w:val="left" w:pos="1939"/>
          <w:tab w:val="left" w:pos="1940"/>
        </w:tabs>
        <w:spacing w:line="480" w:lineRule="auto"/>
        <w:ind w:left="499" w:right="667" w:firstLine="720"/>
        <w:rPr>
          <w:sz w:val="24"/>
        </w:rPr>
      </w:pPr>
      <w:r>
        <w:rPr>
          <w:sz w:val="24"/>
        </w:rPr>
        <w:t>Out-of-State Fee, comprised of the following, shall be defined as the</w:t>
      </w:r>
      <w:r>
        <w:rPr>
          <w:spacing w:val="-18"/>
          <w:sz w:val="24"/>
        </w:rPr>
        <w:t xml:space="preserve"> </w:t>
      </w:r>
      <w:r>
        <w:rPr>
          <w:sz w:val="24"/>
        </w:rPr>
        <w:t>fees charged an enrolled student who does not qualify as a Florida resident as defined in applicable Florida laws and</w:t>
      </w:r>
      <w:r>
        <w:rPr>
          <w:spacing w:val="1"/>
          <w:sz w:val="24"/>
        </w:rPr>
        <w:t xml:space="preserve"> </w:t>
      </w:r>
      <w:r>
        <w:rPr>
          <w:sz w:val="24"/>
        </w:rPr>
        <w:t>regulations:</w:t>
      </w:r>
    </w:p>
    <w:p w:rsidR="00950473" w:rsidRDefault="003603ED">
      <w:pPr>
        <w:pStyle w:val="ListParagraph"/>
        <w:numPr>
          <w:ilvl w:val="0"/>
          <w:numId w:val="3"/>
        </w:numPr>
        <w:tabs>
          <w:tab w:val="left" w:pos="1939"/>
          <w:tab w:val="left" w:pos="1940"/>
        </w:tabs>
        <w:ind w:hanging="721"/>
        <w:rPr>
          <w:sz w:val="24"/>
        </w:rPr>
      </w:pPr>
      <w:r>
        <w:rPr>
          <w:sz w:val="24"/>
        </w:rPr>
        <w:t>Tuition;</w:t>
      </w:r>
    </w:p>
    <w:p w:rsidR="00950473" w:rsidRDefault="00950473">
      <w:pPr>
        <w:pStyle w:val="BodyText"/>
      </w:pPr>
    </w:p>
    <w:p w:rsidR="00950473" w:rsidRDefault="003603ED">
      <w:pPr>
        <w:pStyle w:val="ListParagraph"/>
        <w:numPr>
          <w:ilvl w:val="0"/>
          <w:numId w:val="3"/>
        </w:numPr>
        <w:tabs>
          <w:tab w:val="left" w:pos="1939"/>
          <w:tab w:val="left" w:pos="1940"/>
        </w:tabs>
        <w:ind w:hanging="721"/>
        <w:rPr>
          <w:sz w:val="24"/>
        </w:rPr>
      </w:pPr>
      <w:r>
        <w:rPr>
          <w:sz w:val="24"/>
        </w:rPr>
        <w:t>Out-of-State Fee;</w:t>
      </w:r>
    </w:p>
    <w:p w:rsidR="00950473" w:rsidRDefault="00950473">
      <w:pPr>
        <w:pStyle w:val="BodyText"/>
      </w:pPr>
    </w:p>
    <w:p w:rsidR="00950473" w:rsidRDefault="003603ED">
      <w:pPr>
        <w:pStyle w:val="ListParagraph"/>
        <w:numPr>
          <w:ilvl w:val="0"/>
          <w:numId w:val="3"/>
        </w:numPr>
        <w:tabs>
          <w:tab w:val="left" w:pos="1939"/>
          <w:tab w:val="left" w:pos="1940"/>
        </w:tabs>
        <w:ind w:hanging="721"/>
        <w:rPr>
          <w:sz w:val="24"/>
        </w:rPr>
      </w:pPr>
      <w:r>
        <w:rPr>
          <w:sz w:val="24"/>
        </w:rPr>
        <w:t>Student Financial Aid</w:t>
      </w:r>
      <w:r>
        <w:rPr>
          <w:spacing w:val="-1"/>
          <w:sz w:val="24"/>
        </w:rPr>
        <w:t xml:space="preserve"> </w:t>
      </w:r>
      <w:r>
        <w:rPr>
          <w:sz w:val="24"/>
        </w:rPr>
        <w:t>Fee;</w:t>
      </w:r>
    </w:p>
    <w:p w:rsidR="00950473" w:rsidRDefault="00950473">
      <w:pPr>
        <w:rPr>
          <w:sz w:val="24"/>
        </w:rPr>
        <w:sectPr w:rsidR="00950473">
          <w:pgSz w:w="12240" w:h="15840"/>
          <w:pgMar w:top="1360" w:right="1300" w:bottom="280" w:left="1300" w:header="720" w:footer="720" w:gutter="0"/>
          <w:cols w:space="720"/>
        </w:sectPr>
      </w:pPr>
    </w:p>
    <w:p w:rsidR="00950473" w:rsidRDefault="003603ED">
      <w:pPr>
        <w:pStyle w:val="ListParagraph"/>
        <w:numPr>
          <w:ilvl w:val="0"/>
          <w:numId w:val="3"/>
        </w:numPr>
        <w:tabs>
          <w:tab w:val="left" w:pos="1939"/>
          <w:tab w:val="left" w:pos="1940"/>
        </w:tabs>
        <w:spacing w:before="72"/>
        <w:rPr>
          <w:sz w:val="24"/>
        </w:rPr>
      </w:pPr>
      <w:r>
        <w:rPr>
          <w:sz w:val="24"/>
        </w:rPr>
        <w:lastRenderedPageBreak/>
        <w:t>Non-Resident Student Financial Aid</w:t>
      </w:r>
      <w:r>
        <w:rPr>
          <w:spacing w:val="-1"/>
          <w:sz w:val="24"/>
        </w:rPr>
        <w:t xml:space="preserve"> </w:t>
      </w:r>
      <w:r>
        <w:rPr>
          <w:sz w:val="24"/>
        </w:rPr>
        <w:t>Fee;</w:t>
      </w:r>
    </w:p>
    <w:p w:rsidR="00950473" w:rsidRDefault="00950473">
      <w:pPr>
        <w:pStyle w:val="BodyText"/>
        <w:spacing w:before="11"/>
        <w:rPr>
          <w:sz w:val="23"/>
        </w:rPr>
      </w:pPr>
    </w:p>
    <w:p w:rsidR="00950473" w:rsidRDefault="003603ED">
      <w:pPr>
        <w:pStyle w:val="ListParagraph"/>
        <w:numPr>
          <w:ilvl w:val="0"/>
          <w:numId w:val="3"/>
        </w:numPr>
        <w:tabs>
          <w:tab w:val="left" w:pos="1939"/>
          <w:tab w:val="left" w:pos="1940"/>
        </w:tabs>
        <w:rPr>
          <w:sz w:val="24"/>
        </w:rPr>
      </w:pPr>
      <w:r>
        <w:rPr>
          <w:sz w:val="24"/>
        </w:rPr>
        <w:t>Capital Improvement Trust Fund</w:t>
      </w:r>
      <w:r>
        <w:rPr>
          <w:spacing w:val="1"/>
          <w:sz w:val="24"/>
        </w:rPr>
        <w:t xml:space="preserve"> </w:t>
      </w:r>
      <w:r>
        <w:rPr>
          <w:sz w:val="24"/>
        </w:rPr>
        <w:t>Fee;</w:t>
      </w:r>
    </w:p>
    <w:p w:rsidR="00950473" w:rsidRDefault="00950473">
      <w:pPr>
        <w:pStyle w:val="BodyText"/>
      </w:pPr>
    </w:p>
    <w:p w:rsidR="00950473" w:rsidRDefault="003603ED">
      <w:pPr>
        <w:pStyle w:val="ListParagraph"/>
        <w:numPr>
          <w:ilvl w:val="0"/>
          <w:numId w:val="3"/>
        </w:numPr>
        <w:tabs>
          <w:tab w:val="left" w:pos="1939"/>
          <w:tab w:val="left" w:pos="1940"/>
        </w:tabs>
        <w:rPr>
          <w:sz w:val="24"/>
        </w:rPr>
      </w:pPr>
      <w:r>
        <w:rPr>
          <w:sz w:val="24"/>
        </w:rPr>
        <w:t>Building</w:t>
      </w:r>
      <w:r>
        <w:rPr>
          <w:spacing w:val="-1"/>
          <w:sz w:val="24"/>
        </w:rPr>
        <w:t xml:space="preserve"> </w:t>
      </w:r>
      <w:r>
        <w:rPr>
          <w:sz w:val="24"/>
        </w:rPr>
        <w:t>Fee;</w:t>
      </w:r>
    </w:p>
    <w:p w:rsidR="00950473" w:rsidRDefault="00950473">
      <w:pPr>
        <w:pStyle w:val="BodyText"/>
      </w:pPr>
    </w:p>
    <w:p w:rsidR="00950473" w:rsidRDefault="003603ED">
      <w:pPr>
        <w:pStyle w:val="ListParagraph"/>
        <w:numPr>
          <w:ilvl w:val="0"/>
          <w:numId w:val="3"/>
        </w:numPr>
        <w:tabs>
          <w:tab w:val="left" w:pos="1939"/>
          <w:tab w:val="left" w:pos="1940"/>
        </w:tabs>
        <w:spacing w:line="480" w:lineRule="auto"/>
        <w:ind w:left="500" w:right="600" w:firstLine="720"/>
        <w:rPr>
          <w:sz w:val="24"/>
        </w:rPr>
      </w:pPr>
      <w:r>
        <w:rPr>
          <w:sz w:val="24"/>
        </w:rPr>
        <w:t>Health Fee (which includes the Clinic, Counseling, Wellness and</w:t>
      </w:r>
      <w:r>
        <w:rPr>
          <w:spacing w:val="-14"/>
          <w:sz w:val="24"/>
        </w:rPr>
        <w:t xml:space="preserve"> </w:t>
      </w:r>
      <w:r>
        <w:rPr>
          <w:sz w:val="24"/>
        </w:rPr>
        <w:t>Medical Compliance</w:t>
      </w:r>
      <w:r>
        <w:rPr>
          <w:spacing w:val="-2"/>
          <w:sz w:val="24"/>
        </w:rPr>
        <w:t xml:space="preserve"> </w:t>
      </w:r>
      <w:r>
        <w:rPr>
          <w:sz w:val="24"/>
        </w:rPr>
        <w:t>Fees);</w:t>
      </w:r>
    </w:p>
    <w:p w:rsidR="00950473" w:rsidRDefault="003603ED">
      <w:pPr>
        <w:pStyle w:val="ListParagraph"/>
        <w:numPr>
          <w:ilvl w:val="0"/>
          <w:numId w:val="3"/>
        </w:numPr>
        <w:tabs>
          <w:tab w:val="left" w:pos="1939"/>
          <w:tab w:val="left" w:pos="1940"/>
        </w:tabs>
        <w:rPr>
          <w:sz w:val="24"/>
        </w:rPr>
      </w:pPr>
      <w:r>
        <w:rPr>
          <w:sz w:val="24"/>
        </w:rPr>
        <w:t>Athletic Fee;</w:t>
      </w:r>
      <w:r>
        <w:rPr>
          <w:spacing w:val="-2"/>
          <w:sz w:val="24"/>
        </w:rPr>
        <w:t xml:space="preserve"> </w:t>
      </w:r>
      <w:r>
        <w:rPr>
          <w:sz w:val="24"/>
        </w:rPr>
        <w:t>and</w:t>
      </w:r>
    </w:p>
    <w:p w:rsidR="00950473" w:rsidRDefault="00950473">
      <w:pPr>
        <w:pStyle w:val="BodyText"/>
      </w:pPr>
    </w:p>
    <w:p w:rsidR="00950473" w:rsidRDefault="003603ED">
      <w:pPr>
        <w:pStyle w:val="ListParagraph"/>
        <w:numPr>
          <w:ilvl w:val="0"/>
          <w:numId w:val="3"/>
        </w:numPr>
        <w:tabs>
          <w:tab w:val="left" w:pos="1939"/>
          <w:tab w:val="left" w:pos="1940"/>
        </w:tabs>
        <w:rPr>
          <w:sz w:val="24"/>
        </w:rPr>
      </w:pPr>
      <w:r>
        <w:rPr>
          <w:sz w:val="24"/>
        </w:rPr>
        <w:t>Activity and Service</w:t>
      </w:r>
      <w:r>
        <w:rPr>
          <w:spacing w:val="-5"/>
          <w:sz w:val="24"/>
        </w:rPr>
        <w:t xml:space="preserve"> </w:t>
      </w:r>
      <w:r>
        <w:rPr>
          <w:sz w:val="24"/>
        </w:rPr>
        <w:t>Fee.</w:t>
      </w:r>
    </w:p>
    <w:p w:rsidR="00950473" w:rsidRDefault="00950473">
      <w:pPr>
        <w:pStyle w:val="BodyText"/>
      </w:pPr>
    </w:p>
    <w:p w:rsidR="00950473" w:rsidRDefault="003603ED">
      <w:pPr>
        <w:pStyle w:val="ListParagraph"/>
        <w:numPr>
          <w:ilvl w:val="0"/>
          <w:numId w:val="5"/>
        </w:numPr>
        <w:tabs>
          <w:tab w:val="left" w:pos="1939"/>
          <w:tab w:val="left" w:pos="1940"/>
        </w:tabs>
        <w:spacing w:line="480" w:lineRule="auto"/>
        <w:ind w:right="556" w:firstLine="720"/>
        <w:rPr>
          <w:sz w:val="24"/>
        </w:rPr>
      </w:pPr>
      <w:r>
        <w:rPr>
          <w:sz w:val="24"/>
        </w:rPr>
        <w:t>The following tuition shall be levied and collected effective for the Fall 2006 semester for each student regularly enro</w:t>
      </w:r>
      <w:r>
        <w:rPr>
          <w:sz w:val="24"/>
        </w:rPr>
        <w:t>lled, unless provided otherwise by law or</w:t>
      </w:r>
      <w:r>
        <w:rPr>
          <w:spacing w:val="-20"/>
          <w:sz w:val="24"/>
        </w:rPr>
        <w:t xml:space="preserve"> </w:t>
      </w:r>
      <w:r>
        <w:rPr>
          <w:sz w:val="24"/>
        </w:rPr>
        <w:t>in this</w:t>
      </w:r>
      <w:r>
        <w:rPr>
          <w:spacing w:val="-1"/>
          <w:sz w:val="24"/>
        </w:rPr>
        <w:t xml:space="preserve"> </w:t>
      </w:r>
      <w:r>
        <w:rPr>
          <w:sz w:val="24"/>
        </w:rPr>
        <w:t>chapter.</w:t>
      </w:r>
    </w:p>
    <w:p w:rsidR="00950473" w:rsidRDefault="003603ED">
      <w:pPr>
        <w:pStyle w:val="ListParagraph"/>
        <w:numPr>
          <w:ilvl w:val="0"/>
          <w:numId w:val="2"/>
        </w:numPr>
        <w:tabs>
          <w:tab w:val="left" w:pos="1939"/>
          <w:tab w:val="left" w:pos="1940"/>
        </w:tabs>
        <w:spacing w:before="1" w:after="10" w:line="480" w:lineRule="auto"/>
        <w:ind w:right="1948" w:hanging="1356"/>
        <w:rPr>
          <w:sz w:val="24"/>
        </w:rPr>
      </w:pPr>
      <w:r>
        <w:rPr>
          <w:sz w:val="24"/>
        </w:rPr>
        <w:t>Students will be assessed the following fees per credit</w:t>
      </w:r>
      <w:r>
        <w:rPr>
          <w:spacing w:val="-16"/>
          <w:sz w:val="24"/>
        </w:rPr>
        <w:t xml:space="preserve"> </w:t>
      </w:r>
      <w:r>
        <w:rPr>
          <w:sz w:val="24"/>
        </w:rPr>
        <w:t>hour: FALL 2006/SPRING 2007/ SUMMER</w:t>
      </w:r>
      <w:r>
        <w:rPr>
          <w:spacing w:val="-6"/>
          <w:sz w:val="24"/>
        </w:rPr>
        <w:t xml:space="preserve"> </w:t>
      </w:r>
      <w:r>
        <w:rPr>
          <w:sz w:val="24"/>
        </w:rPr>
        <w:t>2007</w:t>
      </w:r>
    </w:p>
    <w:tbl>
      <w:tblPr>
        <w:tblStyle w:val="TableGrid"/>
        <w:tblW w:w="11160" w:type="dxa"/>
        <w:tblInd w:w="-815" w:type="dxa"/>
        <w:tblLayout w:type="fixed"/>
        <w:tblLook w:val="01E0" w:firstRow="1" w:lastRow="1" w:firstColumn="1" w:lastColumn="1" w:noHBand="0" w:noVBand="0"/>
      </w:tblPr>
      <w:tblGrid>
        <w:gridCol w:w="2790"/>
        <w:gridCol w:w="2160"/>
        <w:gridCol w:w="2070"/>
        <w:gridCol w:w="1980"/>
        <w:gridCol w:w="2160"/>
      </w:tblGrid>
      <w:tr w:rsidR="00950473" w:rsidTr="003603ED">
        <w:trPr>
          <w:trHeight w:val="960"/>
          <w:tblHeader/>
        </w:trPr>
        <w:tc>
          <w:tcPr>
            <w:tcW w:w="2790" w:type="dxa"/>
          </w:tcPr>
          <w:p w:rsidR="00950473" w:rsidRPr="003603ED" w:rsidRDefault="003603ED" w:rsidP="003603ED">
            <w:pPr>
              <w:pStyle w:val="TableParagraph"/>
              <w:spacing w:before="0"/>
              <w:jc w:val="center"/>
              <w:rPr>
                <w:b/>
                <w:bCs/>
                <w:sz w:val="24"/>
              </w:rPr>
            </w:pPr>
            <w:r w:rsidRPr="003603ED">
              <w:rPr>
                <w:b/>
                <w:bCs/>
                <w:sz w:val="24"/>
              </w:rPr>
              <w:t>Fee</w:t>
            </w:r>
          </w:p>
        </w:tc>
        <w:tc>
          <w:tcPr>
            <w:tcW w:w="2160" w:type="dxa"/>
          </w:tcPr>
          <w:p w:rsidR="00950473" w:rsidRPr="003603ED" w:rsidRDefault="003603ED" w:rsidP="003603ED">
            <w:pPr>
              <w:pStyle w:val="TableParagraph"/>
              <w:spacing w:before="0" w:line="266" w:lineRule="exact"/>
              <w:jc w:val="center"/>
              <w:rPr>
                <w:b/>
                <w:bCs/>
                <w:sz w:val="24"/>
              </w:rPr>
            </w:pPr>
            <w:r w:rsidRPr="003603ED">
              <w:rPr>
                <w:b/>
                <w:bCs/>
                <w:sz w:val="24"/>
              </w:rPr>
              <w:t xml:space="preserve">Undergraduate </w:t>
            </w:r>
            <w:r w:rsidRPr="003603ED">
              <w:rPr>
                <w:b/>
                <w:bCs/>
                <w:sz w:val="24"/>
              </w:rPr>
              <w:t>Resident</w:t>
            </w:r>
          </w:p>
        </w:tc>
        <w:tc>
          <w:tcPr>
            <w:tcW w:w="2070" w:type="dxa"/>
          </w:tcPr>
          <w:p w:rsidR="00950473" w:rsidRPr="003603ED" w:rsidRDefault="003603ED" w:rsidP="003603ED">
            <w:pPr>
              <w:pStyle w:val="TableParagraph"/>
              <w:spacing w:before="0"/>
              <w:jc w:val="center"/>
              <w:rPr>
                <w:b/>
                <w:bCs/>
                <w:sz w:val="24"/>
              </w:rPr>
            </w:pPr>
            <w:r w:rsidRPr="003603ED">
              <w:rPr>
                <w:b/>
                <w:bCs/>
                <w:sz w:val="24"/>
              </w:rPr>
              <w:t xml:space="preserve">Undergraduate </w:t>
            </w:r>
            <w:r w:rsidRPr="003603ED">
              <w:rPr>
                <w:b/>
                <w:bCs/>
                <w:sz w:val="24"/>
              </w:rPr>
              <w:t>Non-Resident</w:t>
            </w:r>
          </w:p>
        </w:tc>
        <w:tc>
          <w:tcPr>
            <w:tcW w:w="1980" w:type="dxa"/>
          </w:tcPr>
          <w:p w:rsidR="00950473" w:rsidRPr="003603ED" w:rsidRDefault="003603ED" w:rsidP="003603ED">
            <w:pPr>
              <w:pStyle w:val="TableParagraph"/>
              <w:spacing w:before="0" w:line="266" w:lineRule="exact"/>
              <w:jc w:val="center"/>
              <w:rPr>
                <w:b/>
                <w:bCs/>
                <w:sz w:val="24"/>
              </w:rPr>
            </w:pPr>
            <w:r w:rsidRPr="003603ED">
              <w:rPr>
                <w:b/>
                <w:bCs/>
                <w:sz w:val="24"/>
              </w:rPr>
              <w:t>Graduate</w:t>
            </w:r>
          </w:p>
          <w:p w:rsidR="00950473" w:rsidRPr="003603ED" w:rsidRDefault="003603ED" w:rsidP="003603ED">
            <w:pPr>
              <w:pStyle w:val="TableParagraph"/>
              <w:spacing w:before="0"/>
              <w:jc w:val="center"/>
              <w:rPr>
                <w:b/>
                <w:bCs/>
                <w:sz w:val="24"/>
              </w:rPr>
            </w:pPr>
            <w:r w:rsidRPr="003603ED">
              <w:rPr>
                <w:b/>
                <w:bCs/>
                <w:sz w:val="24"/>
              </w:rPr>
              <w:t>Resident</w:t>
            </w:r>
          </w:p>
        </w:tc>
        <w:tc>
          <w:tcPr>
            <w:tcW w:w="2160" w:type="dxa"/>
          </w:tcPr>
          <w:p w:rsidR="003603ED" w:rsidRPr="003603ED" w:rsidRDefault="003603ED" w:rsidP="003603ED">
            <w:pPr>
              <w:pStyle w:val="TableParagraph"/>
              <w:spacing w:before="0" w:line="266" w:lineRule="exact"/>
              <w:jc w:val="center"/>
              <w:rPr>
                <w:b/>
                <w:bCs/>
                <w:sz w:val="24"/>
              </w:rPr>
            </w:pPr>
            <w:r w:rsidRPr="003603ED">
              <w:rPr>
                <w:b/>
                <w:bCs/>
                <w:sz w:val="24"/>
              </w:rPr>
              <w:t>Graduate</w:t>
            </w:r>
          </w:p>
          <w:p w:rsidR="00950473" w:rsidRPr="003603ED" w:rsidRDefault="003603ED" w:rsidP="003603ED">
            <w:pPr>
              <w:pStyle w:val="TableParagraph"/>
              <w:spacing w:before="0"/>
              <w:jc w:val="center"/>
              <w:rPr>
                <w:b/>
                <w:bCs/>
                <w:sz w:val="24"/>
              </w:rPr>
            </w:pPr>
            <w:r w:rsidRPr="003603ED">
              <w:rPr>
                <w:b/>
                <w:bCs/>
                <w:sz w:val="24"/>
              </w:rPr>
              <w:t>Non-Resident</w:t>
            </w:r>
          </w:p>
        </w:tc>
      </w:tr>
      <w:tr w:rsidR="00950473" w:rsidTr="003603ED">
        <w:trPr>
          <w:trHeight w:val="552"/>
        </w:trPr>
        <w:tc>
          <w:tcPr>
            <w:tcW w:w="2790" w:type="dxa"/>
          </w:tcPr>
          <w:p w:rsidR="00950473" w:rsidRDefault="003603ED">
            <w:pPr>
              <w:pStyle w:val="TableParagraph"/>
              <w:ind w:left="50"/>
              <w:rPr>
                <w:sz w:val="24"/>
              </w:rPr>
            </w:pPr>
            <w:r>
              <w:rPr>
                <w:sz w:val="24"/>
              </w:rPr>
              <w:t>Tuition</w:t>
            </w:r>
          </w:p>
        </w:tc>
        <w:tc>
          <w:tcPr>
            <w:tcW w:w="2160" w:type="dxa"/>
          </w:tcPr>
          <w:p w:rsidR="00950473" w:rsidRDefault="003603ED" w:rsidP="003603ED">
            <w:pPr>
              <w:pStyle w:val="TableParagraph"/>
              <w:ind w:left="387"/>
              <w:jc w:val="right"/>
              <w:rPr>
                <w:sz w:val="24"/>
              </w:rPr>
            </w:pPr>
            <w:r>
              <w:rPr>
                <w:sz w:val="24"/>
              </w:rPr>
              <w:t>$ 73.71</w:t>
            </w:r>
          </w:p>
        </w:tc>
        <w:tc>
          <w:tcPr>
            <w:tcW w:w="2070" w:type="dxa"/>
          </w:tcPr>
          <w:p w:rsidR="00950473" w:rsidRDefault="003603ED" w:rsidP="003603ED">
            <w:pPr>
              <w:pStyle w:val="TableParagraph"/>
              <w:ind w:left="7"/>
              <w:jc w:val="right"/>
              <w:rPr>
                <w:sz w:val="24"/>
              </w:rPr>
            </w:pPr>
            <w:r>
              <w:rPr>
                <w:sz w:val="24"/>
              </w:rPr>
              <w:t>$ 73.71</w:t>
            </w:r>
          </w:p>
        </w:tc>
        <w:tc>
          <w:tcPr>
            <w:tcW w:w="1980" w:type="dxa"/>
          </w:tcPr>
          <w:p w:rsidR="00950473" w:rsidRDefault="003603ED" w:rsidP="003603ED">
            <w:pPr>
              <w:pStyle w:val="TableParagraph"/>
              <w:ind w:left="53"/>
              <w:jc w:val="right"/>
              <w:rPr>
                <w:sz w:val="24"/>
              </w:rPr>
            </w:pPr>
            <w:r>
              <w:rPr>
                <w:sz w:val="24"/>
              </w:rPr>
              <w:t>$ 206.17</w:t>
            </w:r>
          </w:p>
        </w:tc>
        <w:tc>
          <w:tcPr>
            <w:tcW w:w="2160" w:type="dxa"/>
          </w:tcPr>
          <w:p w:rsidR="00950473" w:rsidRDefault="003603ED" w:rsidP="003603ED">
            <w:pPr>
              <w:pStyle w:val="TableParagraph"/>
              <w:ind w:left="100"/>
              <w:jc w:val="right"/>
              <w:rPr>
                <w:sz w:val="24"/>
              </w:rPr>
            </w:pPr>
            <w:r>
              <w:rPr>
                <w:sz w:val="24"/>
              </w:rPr>
              <w:t>$206.17</w:t>
            </w:r>
          </w:p>
        </w:tc>
      </w:tr>
      <w:tr w:rsidR="00950473" w:rsidTr="003603ED">
        <w:trPr>
          <w:trHeight w:val="552"/>
        </w:trPr>
        <w:tc>
          <w:tcPr>
            <w:tcW w:w="2790" w:type="dxa"/>
          </w:tcPr>
          <w:p w:rsidR="00950473" w:rsidRDefault="003603ED">
            <w:pPr>
              <w:pStyle w:val="TableParagraph"/>
              <w:ind w:left="50"/>
              <w:rPr>
                <w:sz w:val="24"/>
              </w:rPr>
            </w:pPr>
            <w:r>
              <w:rPr>
                <w:sz w:val="24"/>
              </w:rPr>
              <w:t>Out-of-State Fee</w:t>
            </w:r>
          </w:p>
        </w:tc>
        <w:tc>
          <w:tcPr>
            <w:tcW w:w="2160" w:type="dxa"/>
          </w:tcPr>
          <w:p w:rsidR="00950473" w:rsidRDefault="003603ED" w:rsidP="003603ED">
            <w:pPr>
              <w:pStyle w:val="TableParagraph"/>
              <w:tabs>
                <w:tab w:val="left" w:pos="806"/>
              </w:tabs>
              <w:ind w:left="387"/>
              <w:jc w:val="right"/>
              <w:rPr>
                <w:sz w:val="24"/>
              </w:rPr>
            </w:pPr>
            <w:r>
              <w:rPr>
                <w:sz w:val="24"/>
              </w:rPr>
              <w:t>$</w:t>
            </w:r>
            <w:r>
              <w:rPr>
                <w:sz w:val="24"/>
              </w:rPr>
              <w:tab/>
              <w:t>-</w:t>
            </w:r>
          </w:p>
        </w:tc>
        <w:tc>
          <w:tcPr>
            <w:tcW w:w="2070" w:type="dxa"/>
          </w:tcPr>
          <w:p w:rsidR="00950473" w:rsidRDefault="003603ED" w:rsidP="003603ED">
            <w:pPr>
              <w:pStyle w:val="TableParagraph"/>
              <w:ind w:left="7"/>
              <w:jc w:val="right"/>
              <w:rPr>
                <w:sz w:val="24"/>
              </w:rPr>
            </w:pPr>
            <w:r>
              <w:rPr>
                <w:sz w:val="24"/>
              </w:rPr>
              <w:t>$369.59</w:t>
            </w:r>
          </w:p>
        </w:tc>
        <w:tc>
          <w:tcPr>
            <w:tcW w:w="1980" w:type="dxa"/>
          </w:tcPr>
          <w:p w:rsidR="00950473" w:rsidRDefault="003603ED" w:rsidP="003603ED">
            <w:pPr>
              <w:pStyle w:val="TableParagraph"/>
              <w:tabs>
                <w:tab w:val="left" w:pos="412"/>
              </w:tabs>
              <w:ind w:left="53"/>
              <w:jc w:val="right"/>
              <w:rPr>
                <w:sz w:val="24"/>
              </w:rPr>
            </w:pPr>
            <w:r>
              <w:rPr>
                <w:sz w:val="24"/>
              </w:rPr>
              <w:t>$</w:t>
            </w:r>
            <w:r>
              <w:rPr>
                <w:sz w:val="24"/>
              </w:rPr>
              <w:tab/>
              <w:t>-</w:t>
            </w:r>
          </w:p>
        </w:tc>
        <w:tc>
          <w:tcPr>
            <w:tcW w:w="2160" w:type="dxa"/>
          </w:tcPr>
          <w:p w:rsidR="00950473" w:rsidRDefault="003603ED" w:rsidP="003603ED">
            <w:pPr>
              <w:pStyle w:val="TableParagraph"/>
              <w:ind w:left="100"/>
              <w:jc w:val="right"/>
              <w:rPr>
                <w:sz w:val="24"/>
              </w:rPr>
            </w:pPr>
            <w:r>
              <w:rPr>
                <w:sz w:val="24"/>
              </w:rPr>
              <w:t>$563.18</w:t>
            </w:r>
          </w:p>
        </w:tc>
      </w:tr>
      <w:tr w:rsidR="00950473" w:rsidTr="003603ED">
        <w:trPr>
          <w:trHeight w:val="552"/>
        </w:trPr>
        <w:tc>
          <w:tcPr>
            <w:tcW w:w="2790" w:type="dxa"/>
          </w:tcPr>
          <w:p w:rsidR="00950473" w:rsidRDefault="003603ED">
            <w:pPr>
              <w:pStyle w:val="TableParagraph"/>
              <w:ind w:left="50"/>
              <w:rPr>
                <w:sz w:val="24"/>
              </w:rPr>
            </w:pPr>
            <w:r>
              <w:rPr>
                <w:sz w:val="24"/>
              </w:rPr>
              <w:t>Student Financial Aid</w:t>
            </w:r>
          </w:p>
        </w:tc>
        <w:tc>
          <w:tcPr>
            <w:tcW w:w="2160" w:type="dxa"/>
          </w:tcPr>
          <w:p w:rsidR="00950473" w:rsidRDefault="003603ED" w:rsidP="003603ED">
            <w:pPr>
              <w:pStyle w:val="TableParagraph"/>
              <w:ind w:left="387"/>
              <w:jc w:val="right"/>
              <w:rPr>
                <w:sz w:val="24"/>
              </w:rPr>
            </w:pPr>
            <w:r>
              <w:rPr>
                <w:sz w:val="24"/>
              </w:rPr>
              <w:t>$ 3.68</w:t>
            </w:r>
          </w:p>
        </w:tc>
        <w:tc>
          <w:tcPr>
            <w:tcW w:w="2070" w:type="dxa"/>
          </w:tcPr>
          <w:p w:rsidR="00950473" w:rsidRDefault="003603ED" w:rsidP="003603ED">
            <w:pPr>
              <w:pStyle w:val="TableParagraph"/>
              <w:ind w:left="7"/>
              <w:jc w:val="right"/>
              <w:rPr>
                <w:sz w:val="24"/>
              </w:rPr>
            </w:pPr>
            <w:r>
              <w:rPr>
                <w:sz w:val="24"/>
              </w:rPr>
              <w:t>$ 22.16</w:t>
            </w:r>
          </w:p>
        </w:tc>
        <w:tc>
          <w:tcPr>
            <w:tcW w:w="1980" w:type="dxa"/>
          </w:tcPr>
          <w:p w:rsidR="00950473" w:rsidRDefault="003603ED" w:rsidP="003603ED">
            <w:pPr>
              <w:pStyle w:val="TableParagraph"/>
              <w:ind w:left="53"/>
              <w:jc w:val="right"/>
              <w:rPr>
                <w:sz w:val="24"/>
              </w:rPr>
            </w:pPr>
            <w:r>
              <w:rPr>
                <w:sz w:val="24"/>
              </w:rPr>
              <w:t>$ 10.30</w:t>
            </w:r>
          </w:p>
        </w:tc>
        <w:tc>
          <w:tcPr>
            <w:tcW w:w="2160" w:type="dxa"/>
          </w:tcPr>
          <w:p w:rsidR="00950473" w:rsidRDefault="003603ED" w:rsidP="003603ED">
            <w:pPr>
              <w:pStyle w:val="TableParagraph"/>
              <w:ind w:left="160"/>
              <w:jc w:val="right"/>
              <w:rPr>
                <w:sz w:val="24"/>
              </w:rPr>
            </w:pPr>
            <w:r>
              <w:rPr>
                <w:sz w:val="24"/>
              </w:rPr>
              <w:t>$ 38.46</w:t>
            </w:r>
          </w:p>
        </w:tc>
      </w:tr>
      <w:tr w:rsidR="00950473" w:rsidTr="003603ED">
        <w:trPr>
          <w:trHeight w:val="827"/>
        </w:trPr>
        <w:tc>
          <w:tcPr>
            <w:tcW w:w="2790" w:type="dxa"/>
          </w:tcPr>
          <w:p w:rsidR="00950473" w:rsidRDefault="003603ED">
            <w:pPr>
              <w:pStyle w:val="TableParagraph"/>
              <w:ind w:left="50" w:right="426"/>
              <w:rPr>
                <w:sz w:val="24"/>
              </w:rPr>
            </w:pPr>
            <w:r>
              <w:rPr>
                <w:sz w:val="24"/>
              </w:rPr>
              <w:t>Capital Improvement Trust Fund</w:t>
            </w:r>
          </w:p>
        </w:tc>
        <w:tc>
          <w:tcPr>
            <w:tcW w:w="2160" w:type="dxa"/>
          </w:tcPr>
          <w:p w:rsidR="00950473" w:rsidRDefault="003603ED" w:rsidP="003603ED">
            <w:pPr>
              <w:pStyle w:val="TableParagraph"/>
              <w:spacing w:before="0"/>
              <w:jc w:val="right"/>
              <w:rPr>
                <w:sz w:val="24"/>
              </w:rPr>
            </w:pPr>
            <w:r>
              <w:rPr>
                <w:sz w:val="24"/>
              </w:rPr>
              <w:t>$ 2.44</w:t>
            </w:r>
          </w:p>
        </w:tc>
        <w:tc>
          <w:tcPr>
            <w:tcW w:w="2070" w:type="dxa"/>
          </w:tcPr>
          <w:p w:rsidR="00950473" w:rsidRDefault="003603ED" w:rsidP="003603ED">
            <w:pPr>
              <w:pStyle w:val="TableParagraph"/>
              <w:tabs>
                <w:tab w:val="left" w:pos="366"/>
              </w:tabs>
              <w:spacing w:before="0"/>
              <w:jc w:val="right"/>
              <w:rPr>
                <w:sz w:val="24"/>
              </w:rPr>
            </w:pPr>
            <w:r>
              <w:rPr>
                <w:sz w:val="24"/>
              </w:rPr>
              <w:t>$</w:t>
            </w:r>
            <w:r>
              <w:rPr>
                <w:sz w:val="24"/>
              </w:rPr>
              <w:tab/>
              <w:t>2.44</w:t>
            </w:r>
          </w:p>
        </w:tc>
        <w:tc>
          <w:tcPr>
            <w:tcW w:w="1980" w:type="dxa"/>
          </w:tcPr>
          <w:p w:rsidR="00950473" w:rsidRDefault="003603ED" w:rsidP="003603ED">
            <w:pPr>
              <w:pStyle w:val="TableParagraph"/>
              <w:tabs>
                <w:tab w:val="left" w:pos="412"/>
              </w:tabs>
              <w:spacing w:before="0"/>
              <w:jc w:val="right"/>
              <w:rPr>
                <w:sz w:val="24"/>
              </w:rPr>
            </w:pPr>
            <w:r>
              <w:rPr>
                <w:sz w:val="24"/>
              </w:rPr>
              <w:t>$</w:t>
            </w:r>
            <w:r>
              <w:rPr>
                <w:sz w:val="24"/>
              </w:rPr>
              <w:tab/>
              <w:t>2.44</w:t>
            </w:r>
          </w:p>
        </w:tc>
        <w:tc>
          <w:tcPr>
            <w:tcW w:w="2160" w:type="dxa"/>
          </w:tcPr>
          <w:p w:rsidR="00950473" w:rsidRDefault="003603ED" w:rsidP="003603ED">
            <w:pPr>
              <w:pStyle w:val="TableParagraph"/>
              <w:tabs>
                <w:tab w:val="left" w:pos="519"/>
              </w:tabs>
              <w:spacing w:before="0"/>
              <w:jc w:val="right"/>
              <w:rPr>
                <w:sz w:val="24"/>
              </w:rPr>
            </w:pPr>
            <w:r>
              <w:rPr>
                <w:sz w:val="24"/>
              </w:rPr>
              <w:t>$</w:t>
            </w:r>
            <w:r>
              <w:rPr>
                <w:sz w:val="24"/>
              </w:rPr>
              <w:tab/>
              <w:t>2.44</w:t>
            </w:r>
          </w:p>
        </w:tc>
      </w:tr>
      <w:tr w:rsidR="00950473" w:rsidTr="003603ED">
        <w:trPr>
          <w:trHeight w:val="552"/>
        </w:trPr>
        <w:tc>
          <w:tcPr>
            <w:tcW w:w="2790" w:type="dxa"/>
          </w:tcPr>
          <w:p w:rsidR="00950473" w:rsidRDefault="003603ED">
            <w:pPr>
              <w:pStyle w:val="TableParagraph"/>
              <w:ind w:left="50"/>
              <w:rPr>
                <w:sz w:val="24"/>
              </w:rPr>
            </w:pPr>
            <w:r>
              <w:rPr>
                <w:sz w:val="24"/>
              </w:rPr>
              <w:t>Building</w:t>
            </w:r>
          </w:p>
        </w:tc>
        <w:tc>
          <w:tcPr>
            <w:tcW w:w="2160" w:type="dxa"/>
          </w:tcPr>
          <w:p w:rsidR="00950473" w:rsidRDefault="003603ED" w:rsidP="003603ED">
            <w:pPr>
              <w:pStyle w:val="TableParagraph"/>
              <w:ind w:left="386"/>
              <w:jc w:val="right"/>
              <w:rPr>
                <w:sz w:val="24"/>
              </w:rPr>
            </w:pPr>
            <w:r>
              <w:rPr>
                <w:sz w:val="24"/>
              </w:rPr>
              <w:t>$ 2.32</w:t>
            </w:r>
          </w:p>
        </w:tc>
        <w:tc>
          <w:tcPr>
            <w:tcW w:w="2070" w:type="dxa"/>
          </w:tcPr>
          <w:p w:rsidR="00950473" w:rsidRDefault="003603ED" w:rsidP="003603ED">
            <w:pPr>
              <w:pStyle w:val="TableParagraph"/>
              <w:tabs>
                <w:tab w:val="left" w:pos="366"/>
              </w:tabs>
              <w:ind w:left="7"/>
              <w:jc w:val="right"/>
              <w:rPr>
                <w:sz w:val="24"/>
              </w:rPr>
            </w:pPr>
            <w:r>
              <w:rPr>
                <w:sz w:val="24"/>
              </w:rPr>
              <w:t>$</w:t>
            </w:r>
            <w:r>
              <w:rPr>
                <w:sz w:val="24"/>
              </w:rPr>
              <w:tab/>
              <w:t>2.32</w:t>
            </w:r>
          </w:p>
        </w:tc>
        <w:tc>
          <w:tcPr>
            <w:tcW w:w="1980" w:type="dxa"/>
          </w:tcPr>
          <w:p w:rsidR="00950473" w:rsidRDefault="003603ED" w:rsidP="003603ED">
            <w:pPr>
              <w:pStyle w:val="TableParagraph"/>
              <w:tabs>
                <w:tab w:val="left" w:pos="412"/>
              </w:tabs>
              <w:ind w:left="53"/>
              <w:jc w:val="right"/>
              <w:rPr>
                <w:sz w:val="24"/>
              </w:rPr>
            </w:pPr>
            <w:r>
              <w:rPr>
                <w:sz w:val="24"/>
              </w:rPr>
              <w:t>$</w:t>
            </w:r>
            <w:r>
              <w:rPr>
                <w:sz w:val="24"/>
              </w:rPr>
              <w:tab/>
              <w:t>2.32</w:t>
            </w:r>
          </w:p>
        </w:tc>
        <w:tc>
          <w:tcPr>
            <w:tcW w:w="2160" w:type="dxa"/>
          </w:tcPr>
          <w:p w:rsidR="00950473" w:rsidRDefault="003603ED" w:rsidP="003603ED">
            <w:pPr>
              <w:pStyle w:val="TableParagraph"/>
              <w:tabs>
                <w:tab w:val="left" w:pos="519"/>
              </w:tabs>
              <w:ind w:left="160"/>
              <w:jc w:val="right"/>
              <w:rPr>
                <w:sz w:val="24"/>
              </w:rPr>
            </w:pPr>
            <w:r>
              <w:rPr>
                <w:sz w:val="24"/>
              </w:rPr>
              <w:t>$</w:t>
            </w:r>
            <w:r>
              <w:rPr>
                <w:sz w:val="24"/>
              </w:rPr>
              <w:tab/>
              <w:t>2.32</w:t>
            </w:r>
          </w:p>
        </w:tc>
      </w:tr>
      <w:tr w:rsidR="00950473" w:rsidTr="003603ED">
        <w:trPr>
          <w:trHeight w:val="551"/>
        </w:trPr>
        <w:tc>
          <w:tcPr>
            <w:tcW w:w="2790" w:type="dxa"/>
          </w:tcPr>
          <w:p w:rsidR="00950473" w:rsidRDefault="003603ED">
            <w:pPr>
              <w:pStyle w:val="TableParagraph"/>
              <w:ind w:left="50"/>
              <w:rPr>
                <w:sz w:val="24"/>
              </w:rPr>
            </w:pPr>
            <w:r>
              <w:rPr>
                <w:sz w:val="24"/>
              </w:rPr>
              <w:t>Activity &amp; Service</w:t>
            </w:r>
          </w:p>
        </w:tc>
        <w:tc>
          <w:tcPr>
            <w:tcW w:w="2160" w:type="dxa"/>
          </w:tcPr>
          <w:p w:rsidR="00950473" w:rsidRDefault="003603ED" w:rsidP="003603ED">
            <w:pPr>
              <w:pStyle w:val="TableParagraph"/>
              <w:ind w:left="386"/>
              <w:jc w:val="right"/>
              <w:rPr>
                <w:sz w:val="24"/>
              </w:rPr>
            </w:pPr>
            <w:r>
              <w:rPr>
                <w:sz w:val="24"/>
              </w:rPr>
              <w:t>$ 11.73</w:t>
            </w:r>
          </w:p>
        </w:tc>
        <w:tc>
          <w:tcPr>
            <w:tcW w:w="2070" w:type="dxa"/>
          </w:tcPr>
          <w:p w:rsidR="00950473" w:rsidRDefault="003603ED" w:rsidP="003603ED">
            <w:pPr>
              <w:pStyle w:val="TableParagraph"/>
              <w:ind w:left="7"/>
              <w:jc w:val="right"/>
              <w:rPr>
                <w:sz w:val="24"/>
              </w:rPr>
            </w:pPr>
            <w:r>
              <w:rPr>
                <w:sz w:val="24"/>
              </w:rPr>
              <w:t>$ 11.73</w:t>
            </w:r>
          </w:p>
        </w:tc>
        <w:tc>
          <w:tcPr>
            <w:tcW w:w="1980" w:type="dxa"/>
          </w:tcPr>
          <w:p w:rsidR="00950473" w:rsidRDefault="003603ED" w:rsidP="003603ED">
            <w:pPr>
              <w:pStyle w:val="TableParagraph"/>
              <w:ind w:left="53"/>
              <w:jc w:val="right"/>
              <w:rPr>
                <w:sz w:val="24"/>
              </w:rPr>
            </w:pPr>
            <w:r>
              <w:rPr>
                <w:sz w:val="24"/>
              </w:rPr>
              <w:t>$ 11.73</w:t>
            </w:r>
          </w:p>
        </w:tc>
        <w:tc>
          <w:tcPr>
            <w:tcW w:w="2160" w:type="dxa"/>
          </w:tcPr>
          <w:p w:rsidR="00950473" w:rsidRDefault="003603ED" w:rsidP="003603ED">
            <w:pPr>
              <w:pStyle w:val="TableParagraph"/>
              <w:ind w:left="160"/>
              <w:jc w:val="right"/>
              <w:rPr>
                <w:sz w:val="24"/>
              </w:rPr>
            </w:pPr>
            <w:r>
              <w:rPr>
                <w:sz w:val="24"/>
              </w:rPr>
              <w:t>$ 11.73</w:t>
            </w:r>
          </w:p>
        </w:tc>
      </w:tr>
      <w:tr w:rsidR="00950473" w:rsidTr="003603ED">
        <w:trPr>
          <w:trHeight w:val="552"/>
        </w:trPr>
        <w:tc>
          <w:tcPr>
            <w:tcW w:w="2790" w:type="dxa"/>
          </w:tcPr>
          <w:p w:rsidR="00950473" w:rsidRDefault="003603ED">
            <w:pPr>
              <w:pStyle w:val="TableParagraph"/>
              <w:ind w:left="50"/>
              <w:rPr>
                <w:sz w:val="24"/>
              </w:rPr>
            </w:pPr>
            <w:r>
              <w:rPr>
                <w:sz w:val="24"/>
              </w:rPr>
              <w:t>Health</w:t>
            </w:r>
          </w:p>
        </w:tc>
        <w:tc>
          <w:tcPr>
            <w:tcW w:w="2160" w:type="dxa"/>
          </w:tcPr>
          <w:p w:rsidR="00950473" w:rsidRDefault="003603ED" w:rsidP="003603ED">
            <w:pPr>
              <w:pStyle w:val="TableParagraph"/>
              <w:tabs>
                <w:tab w:val="left" w:pos="746"/>
              </w:tabs>
              <w:ind w:left="386"/>
              <w:jc w:val="right"/>
              <w:rPr>
                <w:sz w:val="24"/>
              </w:rPr>
            </w:pPr>
            <w:r>
              <w:rPr>
                <w:sz w:val="24"/>
              </w:rPr>
              <w:t>$</w:t>
            </w:r>
            <w:r>
              <w:rPr>
                <w:sz w:val="24"/>
              </w:rPr>
              <w:tab/>
              <w:t>5.62</w:t>
            </w:r>
          </w:p>
        </w:tc>
        <w:tc>
          <w:tcPr>
            <w:tcW w:w="2070" w:type="dxa"/>
          </w:tcPr>
          <w:p w:rsidR="00950473" w:rsidRDefault="003603ED" w:rsidP="003603ED">
            <w:pPr>
              <w:pStyle w:val="TableParagraph"/>
              <w:ind w:left="7"/>
              <w:jc w:val="right"/>
              <w:rPr>
                <w:sz w:val="24"/>
              </w:rPr>
            </w:pPr>
            <w:r>
              <w:rPr>
                <w:sz w:val="24"/>
              </w:rPr>
              <w:t>$ 5.62</w:t>
            </w:r>
          </w:p>
        </w:tc>
        <w:tc>
          <w:tcPr>
            <w:tcW w:w="1980" w:type="dxa"/>
          </w:tcPr>
          <w:p w:rsidR="00950473" w:rsidRDefault="003603ED" w:rsidP="003603ED">
            <w:pPr>
              <w:pStyle w:val="TableParagraph"/>
              <w:tabs>
                <w:tab w:val="left" w:pos="412"/>
              </w:tabs>
              <w:ind w:left="53"/>
              <w:jc w:val="right"/>
              <w:rPr>
                <w:sz w:val="24"/>
              </w:rPr>
            </w:pPr>
            <w:r>
              <w:rPr>
                <w:sz w:val="24"/>
              </w:rPr>
              <w:t>$</w:t>
            </w:r>
            <w:r>
              <w:rPr>
                <w:sz w:val="24"/>
              </w:rPr>
              <w:tab/>
              <w:t>5.62</w:t>
            </w:r>
          </w:p>
        </w:tc>
        <w:tc>
          <w:tcPr>
            <w:tcW w:w="2160" w:type="dxa"/>
          </w:tcPr>
          <w:p w:rsidR="00950473" w:rsidRDefault="003603ED" w:rsidP="003603ED">
            <w:pPr>
              <w:pStyle w:val="TableParagraph"/>
              <w:ind w:left="160"/>
              <w:jc w:val="right"/>
              <w:rPr>
                <w:sz w:val="24"/>
              </w:rPr>
            </w:pPr>
            <w:r>
              <w:rPr>
                <w:sz w:val="24"/>
              </w:rPr>
              <w:t>$ 5.62</w:t>
            </w:r>
          </w:p>
        </w:tc>
      </w:tr>
      <w:tr w:rsidR="00950473" w:rsidTr="003603ED">
        <w:trPr>
          <w:trHeight w:val="551"/>
        </w:trPr>
        <w:tc>
          <w:tcPr>
            <w:tcW w:w="2790" w:type="dxa"/>
          </w:tcPr>
          <w:p w:rsidR="00950473" w:rsidRDefault="003603ED">
            <w:pPr>
              <w:pStyle w:val="TableParagraph"/>
              <w:ind w:left="50"/>
              <w:rPr>
                <w:sz w:val="24"/>
              </w:rPr>
            </w:pPr>
            <w:r>
              <w:rPr>
                <w:sz w:val="24"/>
              </w:rPr>
              <w:t>Athletic</w:t>
            </w:r>
          </w:p>
        </w:tc>
        <w:tc>
          <w:tcPr>
            <w:tcW w:w="2160" w:type="dxa"/>
          </w:tcPr>
          <w:p w:rsidR="00950473" w:rsidRDefault="003603ED" w:rsidP="003603ED">
            <w:pPr>
              <w:pStyle w:val="TableParagraph"/>
              <w:ind w:left="386"/>
              <w:jc w:val="right"/>
              <w:rPr>
                <w:sz w:val="24"/>
              </w:rPr>
            </w:pPr>
            <w:r>
              <w:rPr>
                <w:sz w:val="24"/>
              </w:rPr>
              <w:t>$ 12.25</w:t>
            </w:r>
          </w:p>
        </w:tc>
        <w:tc>
          <w:tcPr>
            <w:tcW w:w="2070" w:type="dxa"/>
          </w:tcPr>
          <w:p w:rsidR="00950473" w:rsidRDefault="003603ED" w:rsidP="003603ED">
            <w:pPr>
              <w:pStyle w:val="TableParagraph"/>
              <w:ind w:left="7"/>
              <w:jc w:val="right"/>
              <w:rPr>
                <w:sz w:val="24"/>
              </w:rPr>
            </w:pPr>
            <w:r>
              <w:rPr>
                <w:sz w:val="24"/>
              </w:rPr>
              <w:t>$ 12.25</w:t>
            </w:r>
          </w:p>
        </w:tc>
        <w:tc>
          <w:tcPr>
            <w:tcW w:w="1980" w:type="dxa"/>
          </w:tcPr>
          <w:p w:rsidR="00950473" w:rsidRDefault="003603ED" w:rsidP="003603ED">
            <w:pPr>
              <w:pStyle w:val="TableParagraph"/>
              <w:ind w:left="53"/>
              <w:jc w:val="right"/>
              <w:rPr>
                <w:sz w:val="24"/>
              </w:rPr>
            </w:pPr>
            <w:r>
              <w:rPr>
                <w:sz w:val="24"/>
              </w:rPr>
              <w:t>$ 12.25</w:t>
            </w:r>
          </w:p>
        </w:tc>
        <w:tc>
          <w:tcPr>
            <w:tcW w:w="2160" w:type="dxa"/>
          </w:tcPr>
          <w:p w:rsidR="00950473" w:rsidRDefault="003603ED" w:rsidP="003603ED">
            <w:pPr>
              <w:pStyle w:val="TableParagraph"/>
              <w:ind w:left="160"/>
              <w:jc w:val="right"/>
              <w:rPr>
                <w:sz w:val="24"/>
              </w:rPr>
            </w:pPr>
            <w:r>
              <w:rPr>
                <w:sz w:val="24"/>
              </w:rPr>
              <w:t>$ 12.25</w:t>
            </w:r>
          </w:p>
        </w:tc>
      </w:tr>
      <w:tr w:rsidR="00950473" w:rsidTr="003603ED">
        <w:trPr>
          <w:trHeight w:val="408"/>
        </w:trPr>
        <w:tc>
          <w:tcPr>
            <w:tcW w:w="2790" w:type="dxa"/>
          </w:tcPr>
          <w:p w:rsidR="00950473" w:rsidRDefault="003603ED">
            <w:pPr>
              <w:pStyle w:val="TableParagraph"/>
              <w:spacing w:line="256" w:lineRule="exact"/>
              <w:ind w:left="50"/>
              <w:rPr>
                <w:sz w:val="24"/>
              </w:rPr>
            </w:pPr>
            <w:r>
              <w:rPr>
                <w:sz w:val="24"/>
              </w:rPr>
              <w:t>Total</w:t>
            </w:r>
          </w:p>
        </w:tc>
        <w:tc>
          <w:tcPr>
            <w:tcW w:w="2160" w:type="dxa"/>
          </w:tcPr>
          <w:p w:rsidR="00950473" w:rsidRDefault="003603ED" w:rsidP="003603ED">
            <w:pPr>
              <w:pStyle w:val="TableParagraph"/>
              <w:spacing w:line="256" w:lineRule="exact"/>
              <w:ind w:left="386"/>
              <w:jc w:val="right"/>
              <w:rPr>
                <w:sz w:val="24"/>
              </w:rPr>
            </w:pPr>
            <w:r>
              <w:rPr>
                <w:sz w:val="24"/>
              </w:rPr>
              <w:t>$ 111.75</w:t>
            </w:r>
          </w:p>
        </w:tc>
        <w:tc>
          <w:tcPr>
            <w:tcW w:w="2070" w:type="dxa"/>
          </w:tcPr>
          <w:p w:rsidR="00950473" w:rsidRDefault="003603ED" w:rsidP="003603ED">
            <w:pPr>
              <w:pStyle w:val="TableParagraph"/>
              <w:spacing w:line="256" w:lineRule="exact"/>
              <w:ind w:left="7"/>
              <w:jc w:val="right"/>
              <w:rPr>
                <w:sz w:val="24"/>
              </w:rPr>
            </w:pPr>
            <w:r>
              <w:rPr>
                <w:sz w:val="24"/>
              </w:rPr>
              <w:t>$499.82</w:t>
            </w:r>
          </w:p>
        </w:tc>
        <w:tc>
          <w:tcPr>
            <w:tcW w:w="1980" w:type="dxa"/>
          </w:tcPr>
          <w:p w:rsidR="00950473" w:rsidRDefault="003603ED" w:rsidP="003603ED">
            <w:pPr>
              <w:pStyle w:val="TableParagraph"/>
              <w:spacing w:line="256" w:lineRule="exact"/>
              <w:ind w:left="53"/>
              <w:jc w:val="right"/>
              <w:rPr>
                <w:sz w:val="24"/>
              </w:rPr>
            </w:pPr>
            <w:r>
              <w:rPr>
                <w:sz w:val="24"/>
              </w:rPr>
              <w:t>$250.83</w:t>
            </w:r>
          </w:p>
        </w:tc>
        <w:tc>
          <w:tcPr>
            <w:tcW w:w="2160" w:type="dxa"/>
          </w:tcPr>
          <w:p w:rsidR="00950473" w:rsidRDefault="003603ED" w:rsidP="003603ED">
            <w:pPr>
              <w:pStyle w:val="TableParagraph"/>
              <w:spacing w:line="256" w:lineRule="exact"/>
              <w:ind w:left="160"/>
              <w:jc w:val="right"/>
              <w:rPr>
                <w:sz w:val="24"/>
              </w:rPr>
            </w:pPr>
            <w:r>
              <w:rPr>
                <w:sz w:val="24"/>
              </w:rPr>
              <w:t>$842.17</w:t>
            </w:r>
          </w:p>
        </w:tc>
      </w:tr>
    </w:tbl>
    <w:p w:rsidR="00950473" w:rsidRDefault="00950473">
      <w:pPr>
        <w:spacing w:line="256" w:lineRule="exact"/>
        <w:rPr>
          <w:sz w:val="24"/>
        </w:rPr>
        <w:sectPr w:rsidR="00950473">
          <w:pgSz w:w="12240" w:h="15840"/>
          <w:pgMar w:top="1360" w:right="1300" w:bottom="280" w:left="1300" w:header="720" w:footer="720" w:gutter="0"/>
          <w:cols w:space="720"/>
        </w:sectPr>
      </w:pPr>
    </w:p>
    <w:p w:rsidR="00950473" w:rsidRDefault="003603ED">
      <w:pPr>
        <w:pStyle w:val="ListParagraph"/>
        <w:numPr>
          <w:ilvl w:val="0"/>
          <w:numId w:val="2"/>
        </w:numPr>
        <w:tabs>
          <w:tab w:val="left" w:pos="1939"/>
          <w:tab w:val="left" w:pos="1940"/>
        </w:tabs>
        <w:spacing w:before="72"/>
        <w:ind w:left="1940"/>
        <w:rPr>
          <w:sz w:val="24"/>
        </w:rPr>
      </w:pPr>
      <w:r>
        <w:rPr>
          <w:sz w:val="24"/>
        </w:rPr>
        <w:lastRenderedPageBreak/>
        <w:t>Nurse Anesthetist Students will be assessed the following fees per</w:t>
      </w:r>
      <w:r>
        <w:rPr>
          <w:spacing w:val="-12"/>
          <w:sz w:val="24"/>
        </w:rPr>
        <w:t xml:space="preserve"> </w:t>
      </w:r>
      <w:r>
        <w:rPr>
          <w:sz w:val="24"/>
        </w:rPr>
        <w:t>credit</w:t>
      </w:r>
    </w:p>
    <w:p w:rsidR="00950473" w:rsidRDefault="00950473">
      <w:pPr>
        <w:pStyle w:val="BodyText"/>
        <w:spacing w:before="10"/>
      </w:pPr>
    </w:p>
    <w:tbl>
      <w:tblPr>
        <w:tblStyle w:val="TableGrid"/>
        <w:tblW w:w="10440" w:type="dxa"/>
        <w:tblInd w:w="-725" w:type="dxa"/>
        <w:tblLayout w:type="fixed"/>
        <w:tblLook w:val="01E0" w:firstRow="1" w:lastRow="1" w:firstColumn="1" w:lastColumn="1" w:noHBand="0" w:noVBand="0"/>
      </w:tblPr>
      <w:tblGrid>
        <w:gridCol w:w="3150"/>
        <w:gridCol w:w="1890"/>
        <w:gridCol w:w="1800"/>
        <w:gridCol w:w="1530"/>
        <w:gridCol w:w="2070"/>
      </w:tblGrid>
      <w:tr w:rsidR="00950473" w:rsidTr="003603ED">
        <w:trPr>
          <w:trHeight w:val="880"/>
          <w:tblHeader/>
        </w:trPr>
        <w:tc>
          <w:tcPr>
            <w:tcW w:w="3150" w:type="dxa"/>
          </w:tcPr>
          <w:p w:rsidR="00950473" w:rsidRPr="003603ED" w:rsidRDefault="003603ED" w:rsidP="003603ED">
            <w:pPr>
              <w:pStyle w:val="TableParagraph"/>
              <w:spacing w:before="0"/>
              <w:ind w:left="50"/>
              <w:jc w:val="center"/>
              <w:rPr>
                <w:b/>
                <w:bCs/>
                <w:sz w:val="24"/>
              </w:rPr>
            </w:pPr>
            <w:r w:rsidRPr="003603ED">
              <w:rPr>
                <w:b/>
                <w:bCs/>
                <w:sz w:val="24"/>
              </w:rPr>
              <w:t>Hour</w:t>
            </w:r>
          </w:p>
        </w:tc>
        <w:tc>
          <w:tcPr>
            <w:tcW w:w="1890" w:type="dxa"/>
          </w:tcPr>
          <w:p w:rsidR="00950473" w:rsidRPr="003603ED" w:rsidRDefault="003603ED" w:rsidP="003603ED">
            <w:pPr>
              <w:pStyle w:val="TableParagraph"/>
              <w:spacing w:before="0"/>
              <w:ind w:right="-13"/>
              <w:jc w:val="center"/>
              <w:rPr>
                <w:b/>
                <w:bCs/>
                <w:sz w:val="24"/>
              </w:rPr>
            </w:pPr>
            <w:r w:rsidRPr="003603ED">
              <w:rPr>
                <w:b/>
                <w:bCs/>
                <w:sz w:val="24"/>
              </w:rPr>
              <w:t xml:space="preserve">Undergraduate </w:t>
            </w:r>
            <w:r w:rsidRPr="003603ED">
              <w:rPr>
                <w:b/>
                <w:bCs/>
                <w:sz w:val="24"/>
              </w:rPr>
              <w:t>Resident</w:t>
            </w:r>
          </w:p>
        </w:tc>
        <w:tc>
          <w:tcPr>
            <w:tcW w:w="1800" w:type="dxa"/>
          </w:tcPr>
          <w:p w:rsidR="00950473" w:rsidRPr="003603ED" w:rsidRDefault="003603ED" w:rsidP="003603ED">
            <w:pPr>
              <w:pStyle w:val="TableParagraph"/>
              <w:spacing w:before="197"/>
              <w:jc w:val="center"/>
              <w:rPr>
                <w:b/>
                <w:bCs/>
                <w:sz w:val="24"/>
              </w:rPr>
            </w:pPr>
            <w:r w:rsidRPr="003603ED">
              <w:rPr>
                <w:b/>
                <w:bCs/>
                <w:sz w:val="24"/>
              </w:rPr>
              <w:t xml:space="preserve">Undergraduate </w:t>
            </w:r>
            <w:r w:rsidRPr="003603ED">
              <w:rPr>
                <w:b/>
                <w:bCs/>
                <w:sz w:val="24"/>
              </w:rPr>
              <w:t>Non-Resident</w:t>
            </w:r>
          </w:p>
        </w:tc>
        <w:tc>
          <w:tcPr>
            <w:tcW w:w="1530" w:type="dxa"/>
          </w:tcPr>
          <w:p w:rsidR="00950473" w:rsidRPr="003603ED" w:rsidRDefault="003603ED" w:rsidP="003603ED">
            <w:pPr>
              <w:pStyle w:val="TableParagraph"/>
              <w:spacing w:before="0"/>
              <w:jc w:val="center"/>
              <w:rPr>
                <w:b/>
                <w:bCs/>
                <w:sz w:val="24"/>
              </w:rPr>
            </w:pPr>
            <w:r w:rsidRPr="003603ED">
              <w:rPr>
                <w:b/>
                <w:bCs/>
                <w:sz w:val="24"/>
              </w:rPr>
              <w:t>Graduate Resident</w:t>
            </w:r>
          </w:p>
        </w:tc>
        <w:tc>
          <w:tcPr>
            <w:tcW w:w="2070" w:type="dxa"/>
          </w:tcPr>
          <w:p w:rsidR="00950473" w:rsidRPr="003603ED" w:rsidRDefault="003603ED" w:rsidP="003603ED">
            <w:pPr>
              <w:pStyle w:val="TableParagraph"/>
              <w:spacing w:before="197"/>
              <w:jc w:val="center"/>
              <w:rPr>
                <w:b/>
                <w:bCs/>
                <w:sz w:val="24"/>
              </w:rPr>
            </w:pPr>
            <w:r w:rsidRPr="003603ED">
              <w:rPr>
                <w:b/>
                <w:bCs/>
                <w:sz w:val="24"/>
              </w:rPr>
              <w:t xml:space="preserve">Graduate </w:t>
            </w:r>
            <w:r w:rsidRPr="003603ED">
              <w:rPr>
                <w:b/>
                <w:bCs/>
                <w:sz w:val="24"/>
              </w:rPr>
              <w:t>Non-Resident</w:t>
            </w:r>
          </w:p>
        </w:tc>
      </w:tr>
      <w:tr w:rsidR="00950473" w:rsidTr="003603ED">
        <w:trPr>
          <w:trHeight w:val="551"/>
        </w:trPr>
        <w:tc>
          <w:tcPr>
            <w:tcW w:w="3150" w:type="dxa"/>
          </w:tcPr>
          <w:p w:rsidR="00950473" w:rsidRDefault="003603ED">
            <w:pPr>
              <w:pStyle w:val="TableParagraph"/>
              <w:ind w:left="50"/>
              <w:rPr>
                <w:sz w:val="24"/>
              </w:rPr>
            </w:pPr>
            <w:r>
              <w:rPr>
                <w:sz w:val="24"/>
              </w:rPr>
              <w:t>Nurse Anesthetist</w:t>
            </w:r>
          </w:p>
        </w:tc>
        <w:tc>
          <w:tcPr>
            <w:tcW w:w="1890" w:type="dxa"/>
          </w:tcPr>
          <w:p w:rsidR="00950473" w:rsidRDefault="003603ED" w:rsidP="003603ED">
            <w:pPr>
              <w:pStyle w:val="TableParagraph"/>
              <w:ind w:left="386"/>
              <w:jc w:val="right"/>
              <w:rPr>
                <w:sz w:val="24"/>
              </w:rPr>
            </w:pPr>
            <w:r>
              <w:rPr>
                <w:w w:val="99"/>
                <w:sz w:val="24"/>
              </w:rPr>
              <w:t>-</w:t>
            </w:r>
          </w:p>
        </w:tc>
        <w:tc>
          <w:tcPr>
            <w:tcW w:w="1800" w:type="dxa"/>
          </w:tcPr>
          <w:p w:rsidR="00950473" w:rsidRDefault="003603ED" w:rsidP="003603ED">
            <w:pPr>
              <w:pStyle w:val="TableParagraph"/>
              <w:ind w:left="7"/>
              <w:jc w:val="right"/>
              <w:rPr>
                <w:sz w:val="24"/>
              </w:rPr>
            </w:pPr>
            <w:r>
              <w:rPr>
                <w:w w:val="99"/>
                <w:sz w:val="24"/>
              </w:rPr>
              <w:t>-</w:t>
            </w:r>
          </w:p>
        </w:tc>
        <w:tc>
          <w:tcPr>
            <w:tcW w:w="1530" w:type="dxa"/>
          </w:tcPr>
          <w:p w:rsidR="00950473" w:rsidRDefault="003603ED" w:rsidP="003603ED">
            <w:pPr>
              <w:pStyle w:val="TableParagraph"/>
              <w:ind w:left="53"/>
              <w:jc w:val="right"/>
              <w:rPr>
                <w:sz w:val="24"/>
              </w:rPr>
            </w:pPr>
            <w:r>
              <w:rPr>
                <w:sz w:val="24"/>
              </w:rPr>
              <w:t>$220.17</w:t>
            </w:r>
          </w:p>
        </w:tc>
        <w:tc>
          <w:tcPr>
            <w:tcW w:w="2070" w:type="dxa"/>
          </w:tcPr>
          <w:p w:rsidR="00950473" w:rsidRDefault="003603ED" w:rsidP="003603ED">
            <w:pPr>
              <w:pStyle w:val="TableParagraph"/>
              <w:jc w:val="right"/>
              <w:rPr>
                <w:sz w:val="24"/>
              </w:rPr>
            </w:pPr>
            <w:r>
              <w:rPr>
                <w:sz w:val="24"/>
              </w:rPr>
              <w:t>$220.17</w:t>
            </w:r>
          </w:p>
        </w:tc>
      </w:tr>
      <w:tr w:rsidR="00950473" w:rsidTr="003603ED">
        <w:trPr>
          <w:trHeight w:val="408"/>
        </w:trPr>
        <w:tc>
          <w:tcPr>
            <w:tcW w:w="3150" w:type="dxa"/>
          </w:tcPr>
          <w:p w:rsidR="00950473" w:rsidRDefault="003603ED">
            <w:pPr>
              <w:pStyle w:val="TableParagraph"/>
              <w:spacing w:line="256" w:lineRule="exact"/>
              <w:ind w:left="50"/>
              <w:rPr>
                <w:sz w:val="24"/>
              </w:rPr>
            </w:pPr>
            <w:r>
              <w:rPr>
                <w:sz w:val="24"/>
              </w:rPr>
              <w:t>Out-of-State Fee</w:t>
            </w:r>
          </w:p>
        </w:tc>
        <w:tc>
          <w:tcPr>
            <w:tcW w:w="1890" w:type="dxa"/>
          </w:tcPr>
          <w:p w:rsidR="00950473" w:rsidRDefault="003603ED" w:rsidP="003603ED">
            <w:pPr>
              <w:pStyle w:val="TableParagraph"/>
              <w:spacing w:line="256" w:lineRule="exact"/>
              <w:ind w:left="386"/>
              <w:jc w:val="right"/>
              <w:rPr>
                <w:sz w:val="24"/>
              </w:rPr>
            </w:pPr>
            <w:r>
              <w:rPr>
                <w:w w:val="99"/>
                <w:sz w:val="24"/>
              </w:rPr>
              <w:t>-</w:t>
            </w:r>
          </w:p>
        </w:tc>
        <w:tc>
          <w:tcPr>
            <w:tcW w:w="1800" w:type="dxa"/>
          </w:tcPr>
          <w:p w:rsidR="00950473" w:rsidRDefault="003603ED" w:rsidP="003603ED">
            <w:pPr>
              <w:pStyle w:val="TableParagraph"/>
              <w:spacing w:line="256" w:lineRule="exact"/>
              <w:ind w:left="7"/>
              <w:jc w:val="right"/>
              <w:rPr>
                <w:sz w:val="24"/>
              </w:rPr>
            </w:pPr>
            <w:r>
              <w:rPr>
                <w:w w:val="99"/>
                <w:sz w:val="24"/>
              </w:rPr>
              <w:t>-</w:t>
            </w:r>
          </w:p>
        </w:tc>
        <w:tc>
          <w:tcPr>
            <w:tcW w:w="1530" w:type="dxa"/>
          </w:tcPr>
          <w:p w:rsidR="00950473" w:rsidRDefault="003603ED" w:rsidP="003603ED">
            <w:pPr>
              <w:pStyle w:val="TableParagraph"/>
              <w:spacing w:line="256" w:lineRule="exact"/>
              <w:ind w:left="53"/>
              <w:jc w:val="right"/>
              <w:rPr>
                <w:sz w:val="24"/>
              </w:rPr>
            </w:pPr>
            <w:r>
              <w:rPr>
                <w:w w:val="99"/>
                <w:sz w:val="24"/>
              </w:rPr>
              <w:t>-</w:t>
            </w:r>
          </w:p>
        </w:tc>
        <w:tc>
          <w:tcPr>
            <w:tcW w:w="2070" w:type="dxa"/>
          </w:tcPr>
          <w:p w:rsidR="00950473" w:rsidRDefault="003603ED" w:rsidP="003603ED">
            <w:pPr>
              <w:pStyle w:val="TableParagraph"/>
              <w:spacing w:line="256" w:lineRule="exact"/>
              <w:jc w:val="right"/>
              <w:rPr>
                <w:sz w:val="24"/>
              </w:rPr>
            </w:pPr>
            <w:r>
              <w:rPr>
                <w:sz w:val="24"/>
              </w:rPr>
              <w:t>$619.49</w:t>
            </w:r>
          </w:p>
        </w:tc>
      </w:tr>
      <w:tr w:rsidR="003603ED" w:rsidTr="003603ED">
        <w:trPr>
          <w:trHeight w:val="552"/>
        </w:trPr>
        <w:tc>
          <w:tcPr>
            <w:tcW w:w="3150" w:type="dxa"/>
          </w:tcPr>
          <w:p w:rsidR="003603ED" w:rsidRDefault="003603ED">
            <w:pPr>
              <w:pStyle w:val="TableParagraph"/>
              <w:spacing w:before="0"/>
              <w:rPr>
                <w:sz w:val="24"/>
              </w:rPr>
            </w:pPr>
          </w:p>
          <w:p w:rsidR="003603ED" w:rsidRDefault="003603ED">
            <w:pPr>
              <w:pStyle w:val="TableParagraph"/>
              <w:spacing w:before="0" w:line="256" w:lineRule="exact"/>
              <w:ind w:left="50"/>
              <w:rPr>
                <w:sz w:val="24"/>
              </w:rPr>
            </w:pPr>
            <w:r>
              <w:rPr>
                <w:sz w:val="24"/>
              </w:rPr>
              <w:t>Student Financial Aid</w:t>
            </w:r>
          </w:p>
        </w:tc>
        <w:tc>
          <w:tcPr>
            <w:tcW w:w="1890" w:type="dxa"/>
          </w:tcPr>
          <w:p w:rsidR="003603ED" w:rsidRDefault="003603ED" w:rsidP="003603ED">
            <w:pPr>
              <w:pStyle w:val="TableParagraph"/>
              <w:spacing w:before="0"/>
              <w:jc w:val="right"/>
              <w:rPr>
                <w:sz w:val="24"/>
              </w:rPr>
            </w:pPr>
          </w:p>
          <w:p w:rsidR="003603ED" w:rsidRDefault="003603ED" w:rsidP="003603ED">
            <w:pPr>
              <w:pStyle w:val="TableParagraph"/>
              <w:spacing w:before="0" w:line="256" w:lineRule="exact"/>
              <w:ind w:left="386"/>
              <w:jc w:val="right"/>
              <w:rPr>
                <w:sz w:val="24"/>
              </w:rPr>
            </w:pPr>
            <w:r>
              <w:rPr>
                <w:w w:val="99"/>
                <w:sz w:val="24"/>
              </w:rPr>
              <w:t>-</w:t>
            </w:r>
          </w:p>
        </w:tc>
        <w:tc>
          <w:tcPr>
            <w:tcW w:w="1800" w:type="dxa"/>
          </w:tcPr>
          <w:p w:rsidR="003603ED" w:rsidRDefault="003603ED" w:rsidP="003603ED">
            <w:pPr>
              <w:pStyle w:val="TableParagraph"/>
              <w:spacing w:before="0"/>
              <w:jc w:val="right"/>
              <w:rPr>
                <w:sz w:val="24"/>
              </w:rPr>
            </w:pPr>
          </w:p>
          <w:p w:rsidR="003603ED" w:rsidRDefault="003603ED" w:rsidP="003603ED">
            <w:pPr>
              <w:pStyle w:val="TableParagraph"/>
              <w:spacing w:before="0" w:line="256" w:lineRule="exact"/>
              <w:ind w:left="7"/>
              <w:jc w:val="right"/>
              <w:rPr>
                <w:sz w:val="24"/>
              </w:rPr>
            </w:pPr>
            <w:r>
              <w:rPr>
                <w:w w:val="99"/>
                <w:sz w:val="24"/>
              </w:rPr>
              <w:t>-</w:t>
            </w:r>
          </w:p>
        </w:tc>
        <w:tc>
          <w:tcPr>
            <w:tcW w:w="1530" w:type="dxa"/>
          </w:tcPr>
          <w:p w:rsidR="003603ED" w:rsidRDefault="003603ED" w:rsidP="003603ED">
            <w:pPr>
              <w:pStyle w:val="TableParagraph"/>
              <w:spacing w:before="0" w:line="256" w:lineRule="exact"/>
              <w:jc w:val="right"/>
              <w:rPr>
                <w:sz w:val="24"/>
              </w:rPr>
            </w:pPr>
            <w:r>
              <w:rPr>
                <w:sz w:val="24"/>
              </w:rPr>
              <w:t>$ 11.00</w:t>
            </w:r>
          </w:p>
        </w:tc>
        <w:tc>
          <w:tcPr>
            <w:tcW w:w="2070" w:type="dxa"/>
          </w:tcPr>
          <w:p w:rsidR="003603ED" w:rsidRDefault="003603ED" w:rsidP="003603ED">
            <w:pPr>
              <w:pStyle w:val="TableParagraph"/>
              <w:spacing w:before="0" w:line="256" w:lineRule="exact"/>
              <w:jc w:val="right"/>
              <w:rPr>
                <w:sz w:val="24"/>
              </w:rPr>
            </w:pPr>
            <w:r>
              <w:rPr>
                <w:sz w:val="24"/>
              </w:rPr>
              <w:t>$41.98</w:t>
            </w:r>
          </w:p>
        </w:tc>
      </w:tr>
      <w:tr w:rsidR="003603ED" w:rsidTr="003603ED">
        <w:trPr>
          <w:trHeight w:val="592"/>
        </w:trPr>
        <w:tc>
          <w:tcPr>
            <w:tcW w:w="3150" w:type="dxa"/>
          </w:tcPr>
          <w:p w:rsidR="003603ED" w:rsidRDefault="003603ED">
            <w:pPr>
              <w:pStyle w:val="TableParagraph"/>
              <w:spacing w:before="0"/>
              <w:ind w:left="50" w:right="426"/>
              <w:rPr>
                <w:sz w:val="24"/>
              </w:rPr>
            </w:pPr>
            <w:r>
              <w:rPr>
                <w:sz w:val="24"/>
              </w:rPr>
              <w:t>Capital Improvement Trust Fund</w:t>
            </w:r>
          </w:p>
        </w:tc>
        <w:tc>
          <w:tcPr>
            <w:tcW w:w="1890" w:type="dxa"/>
          </w:tcPr>
          <w:p w:rsidR="003603ED" w:rsidRDefault="003603ED" w:rsidP="003603ED">
            <w:pPr>
              <w:pStyle w:val="TableParagraph"/>
              <w:tabs>
                <w:tab w:val="left" w:pos="1826"/>
                <w:tab w:val="left" w:pos="3266"/>
                <w:tab w:val="left" w:pos="3626"/>
              </w:tabs>
              <w:spacing w:before="0"/>
              <w:jc w:val="right"/>
              <w:rPr>
                <w:sz w:val="24"/>
              </w:rPr>
            </w:pPr>
            <w:r>
              <w:rPr>
                <w:sz w:val="24"/>
              </w:rPr>
              <w:tab/>
            </w:r>
          </w:p>
        </w:tc>
        <w:tc>
          <w:tcPr>
            <w:tcW w:w="1800" w:type="dxa"/>
          </w:tcPr>
          <w:p w:rsidR="003603ED" w:rsidRDefault="003603ED" w:rsidP="003603ED">
            <w:pPr>
              <w:jc w:val="right"/>
              <w:rPr>
                <w:sz w:val="24"/>
              </w:rPr>
            </w:pPr>
          </w:p>
          <w:p w:rsidR="003603ED" w:rsidRDefault="003603ED" w:rsidP="003603ED">
            <w:pPr>
              <w:pStyle w:val="TableParagraph"/>
              <w:tabs>
                <w:tab w:val="left" w:pos="1826"/>
                <w:tab w:val="left" w:pos="3266"/>
                <w:tab w:val="left" w:pos="3626"/>
              </w:tabs>
              <w:spacing w:before="0"/>
              <w:ind w:left="386"/>
              <w:jc w:val="right"/>
              <w:rPr>
                <w:sz w:val="24"/>
              </w:rPr>
            </w:pPr>
          </w:p>
        </w:tc>
        <w:tc>
          <w:tcPr>
            <w:tcW w:w="1530" w:type="dxa"/>
          </w:tcPr>
          <w:p w:rsidR="003603ED" w:rsidRDefault="003603ED" w:rsidP="003603ED">
            <w:pPr>
              <w:pStyle w:val="TableParagraph"/>
              <w:tabs>
                <w:tab w:val="left" w:pos="1826"/>
                <w:tab w:val="left" w:pos="3266"/>
                <w:tab w:val="left" w:pos="3626"/>
              </w:tabs>
              <w:spacing w:before="0"/>
              <w:jc w:val="right"/>
              <w:rPr>
                <w:sz w:val="24"/>
              </w:rPr>
            </w:pPr>
            <w:r>
              <w:rPr>
                <w:sz w:val="24"/>
              </w:rPr>
              <w:t>$</w:t>
            </w:r>
            <w:r>
              <w:rPr>
                <w:sz w:val="24"/>
              </w:rPr>
              <w:t xml:space="preserve"> </w:t>
            </w:r>
            <w:r>
              <w:rPr>
                <w:sz w:val="24"/>
              </w:rPr>
              <w:t>2.44</w:t>
            </w:r>
          </w:p>
        </w:tc>
        <w:tc>
          <w:tcPr>
            <w:tcW w:w="2070" w:type="dxa"/>
          </w:tcPr>
          <w:p w:rsidR="003603ED" w:rsidRDefault="003603ED" w:rsidP="003603ED">
            <w:pPr>
              <w:pStyle w:val="TableParagraph"/>
              <w:tabs>
                <w:tab w:val="left" w:pos="609"/>
              </w:tabs>
              <w:spacing w:before="0"/>
              <w:jc w:val="right"/>
              <w:rPr>
                <w:sz w:val="24"/>
              </w:rPr>
            </w:pPr>
            <w:r>
              <w:rPr>
                <w:sz w:val="24"/>
              </w:rPr>
              <w:t>$2.44</w:t>
            </w:r>
          </w:p>
        </w:tc>
      </w:tr>
      <w:tr w:rsidR="003603ED" w:rsidTr="003603ED">
        <w:trPr>
          <w:trHeight w:val="552"/>
        </w:trPr>
        <w:tc>
          <w:tcPr>
            <w:tcW w:w="3150" w:type="dxa"/>
          </w:tcPr>
          <w:p w:rsidR="003603ED" w:rsidRDefault="003603ED">
            <w:pPr>
              <w:pStyle w:val="TableParagraph"/>
              <w:ind w:left="50"/>
              <w:rPr>
                <w:sz w:val="24"/>
              </w:rPr>
            </w:pPr>
            <w:r>
              <w:rPr>
                <w:sz w:val="24"/>
              </w:rPr>
              <w:t>Building</w:t>
            </w:r>
          </w:p>
        </w:tc>
        <w:tc>
          <w:tcPr>
            <w:tcW w:w="1890" w:type="dxa"/>
          </w:tcPr>
          <w:p w:rsidR="003603ED" w:rsidRDefault="003603ED" w:rsidP="003603ED">
            <w:pPr>
              <w:pStyle w:val="TableParagraph"/>
              <w:tabs>
                <w:tab w:val="left" w:pos="1826"/>
                <w:tab w:val="left" w:pos="3266"/>
                <w:tab w:val="left" w:pos="3626"/>
              </w:tabs>
              <w:ind w:left="386"/>
              <w:jc w:val="right"/>
              <w:rPr>
                <w:sz w:val="24"/>
              </w:rPr>
            </w:pPr>
            <w:r>
              <w:rPr>
                <w:sz w:val="24"/>
              </w:rPr>
              <w:t>-</w:t>
            </w:r>
          </w:p>
        </w:tc>
        <w:tc>
          <w:tcPr>
            <w:tcW w:w="1800" w:type="dxa"/>
          </w:tcPr>
          <w:p w:rsidR="003603ED" w:rsidRDefault="003603ED" w:rsidP="003603ED">
            <w:pPr>
              <w:pStyle w:val="TableParagraph"/>
              <w:tabs>
                <w:tab w:val="left" w:pos="1826"/>
                <w:tab w:val="left" w:pos="3266"/>
                <w:tab w:val="left" w:pos="3626"/>
              </w:tabs>
              <w:ind w:left="536"/>
              <w:jc w:val="right"/>
              <w:rPr>
                <w:sz w:val="24"/>
              </w:rPr>
            </w:pPr>
            <w:r>
              <w:rPr>
                <w:sz w:val="24"/>
              </w:rPr>
              <w:t>-</w:t>
            </w:r>
          </w:p>
        </w:tc>
        <w:tc>
          <w:tcPr>
            <w:tcW w:w="1530" w:type="dxa"/>
          </w:tcPr>
          <w:p w:rsidR="003603ED" w:rsidRDefault="003603ED" w:rsidP="003603ED">
            <w:pPr>
              <w:pStyle w:val="TableParagraph"/>
              <w:tabs>
                <w:tab w:val="left" w:pos="1826"/>
                <w:tab w:val="left" w:pos="3266"/>
                <w:tab w:val="left" w:pos="3626"/>
              </w:tabs>
              <w:jc w:val="right"/>
              <w:rPr>
                <w:sz w:val="24"/>
              </w:rPr>
            </w:pPr>
            <w:r>
              <w:rPr>
                <w:sz w:val="24"/>
              </w:rPr>
              <w:t>$2.32</w:t>
            </w:r>
          </w:p>
        </w:tc>
        <w:tc>
          <w:tcPr>
            <w:tcW w:w="2070" w:type="dxa"/>
          </w:tcPr>
          <w:p w:rsidR="003603ED" w:rsidRDefault="003603ED" w:rsidP="003603ED">
            <w:pPr>
              <w:pStyle w:val="TableParagraph"/>
              <w:tabs>
                <w:tab w:val="left" w:pos="609"/>
              </w:tabs>
              <w:jc w:val="right"/>
              <w:rPr>
                <w:sz w:val="24"/>
              </w:rPr>
            </w:pPr>
            <w:r>
              <w:rPr>
                <w:sz w:val="24"/>
              </w:rPr>
              <w:t>$2.32</w:t>
            </w:r>
          </w:p>
        </w:tc>
      </w:tr>
      <w:tr w:rsidR="003603ED" w:rsidTr="003603ED">
        <w:trPr>
          <w:trHeight w:val="552"/>
        </w:trPr>
        <w:tc>
          <w:tcPr>
            <w:tcW w:w="3150" w:type="dxa"/>
          </w:tcPr>
          <w:p w:rsidR="003603ED" w:rsidRDefault="003603ED">
            <w:pPr>
              <w:pStyle w:val="TableParagraph"/>
              <w:ind w:left="50"/>
              <w:rPr>
                <w:sz w:val="24"/>
              </w:rPr>
            </w:pPr>
            <w:r>
              <w:rPr>
                <w:sz w:val="24"/>
              </w:rPr>
              <w:t>Activity &amp; Service</w:t>
            </w:r>
          </w:p>
        </w:tc>
        <w:tc>
          <w:tcPr>
            <w:tcW w:w="1890" w:type="dxa"/>
          </w:tcPr>
          <w:p w:rsidR="003603ED" w:rsidRDefault="003603ED" w:rsidP="003603ED">
            <w:pPr>
              <w:pStyle w:val="TableParagraph"/>
              <w:tabs>
                <w:tab w:val="left" w:pos="1826"/>
                <w:tab w:val="left" w:pos="3266"/>
              </w:tabs>
              <w:ind w:left="386"/>
              <w:jc w:val="right"/>
              <w:rPr>
                <w:sz w:val="24"/>
              </w:rPr>
            </w:pPr>
            <w:r>
              <w:rPr>
                <w:sz w:val="24"/>
              </w:rPr>
              <w:t>-</w:t>
            </w:r>
          </w:p>
        </w:tc>
        <w:tc>
          <w:tcPr>
            <w:tcW w:w="1800" w:type="dxa"/>
          </w:tcPr>
          <w:p w:rsidR="003603ED" w:rsidRDefault="003603ED" w:rsidP="003603ED">
            <w:pPr>
              <w:pStyle w:val="TableParagraph"/>
              <w:tabs>
                <w:tab w:val="left" w:pos="1826"/>
                <w:tab w:val="left" w:pos="3266"/>
              </w:tabs>
              <w:ind w:left="536"/>
              <w:jc w:val="right"/>
              <w:rPr>
                <w:sz w:val="24"/>
              </w:rPr>
            </w:pPr>
            <w:r>
              <w:rPr>
                <w:sz w:val="24"/>
              </w:rPr>
              <w:t>-</w:t>
            </w:r>
          </w:p>
        </w:tc>
        <w:tc>
          <w:tcPr>
            <w:tcW w:w="1530" w:type="dxa"/>
          </w:tcPr>
          <w:p w:rsidR="003603ED" w:rsidRDefault="003603ED" w:rsidP="003603ED">
            <w:pPr>
              <w:pStyle w:val="TableParagraph"/>
              <w:tabs>
                <w:tab w:val="left" w:pos="1826"/>
                <w:tab w:val="left" w:pos="3266"/>
              </w:tabs>
              <w:jc w:val="right"/>
              <w:rPr>
                <w:sz w:val="24"/>
              </w:rPr>
            </w:pPr>
            <w:r>
              <w:rPr>
                <w:sz w:val="24"/>
              </w:rPr>
              <w:t>$</w:t>
            </w:r>
            <w:r>
              <w:rPr>
                <w:spacing w:val="60"/>
                <w:sz w:val="24"/>
              </w:rPr>
              <w:t xml:space="preserve"> </w:t>
            </w:r>
            <w:r>
              <w:rPr>
                <w:sz w:val="24"/>
              </w:rPr>
              <w:t>11.73</w:t>
            </w:r>
          </w:p>
        </w:tc>
        <w:tc>
          <w:tcPr>
            <w:tcW w:w="2070" w:type="dxa"/>
          </w:tcPr>
          <w:p w:rsidR="003603ED" w:rsidRDefault="003603ED" w:rsidP="003603ED">
            <w:pPr>
              <w:pStyle w:val="TableParagraph"/>
              <w:jc w:val="right"/>
              <w:rPr>
                <w:sz w:val="24"/>
              </w:rPr>
            </w:pPr>
            <w:r>
              <w:rPr>
                <w:sz w:val="24"/>
              </w:rPr>
              <w:t>$ 11.73</w:t>
            </w:r>
          </w:p>
        </w:tc>
      </w:tr>
      <w:tr w:rsidR="003603ED" w:rsidTr="003603ED">
        <w:trPr>
          <w:trHeight w:val="552"/>
        </w:trPr>
        <w:tc>
          <w:tcPr>
            <w:tcW w:w="3150" w:type="dxa"/>
          </w:tcPr>
          <w:p w:rsidR="003603ED" w:rsidRDefault="003603ED">
            <w:pPr>
              <w:pStyle w:val="TableParagraph"/>
              <w:ind w:left="50"/>
              <w:rPr>
                <w:sz w:val="24"/>
              </w:rPr>
            </w:pPr>
            <w:r>
              <w:rPr>
                <w:sz w:val="24"/>
              </w:rPr>
              <w:t>Health</w:t>
            </w:r>
          </w:p>
        </w:tc>
        <w:tc>
          <w:tcPr>
            <w:tcW w:w="1890" w:type="dxa"/>
          </w:tcPr>
          <w:p w:rsidR="003603ED" w:rsidRDefault="003603ED" w:rsidP="003603ED">
            <w:pPr>
              <w:pStyle w:val="TableParagraph"/>
              <w:tabs>
                <w:tab w:val="left" w:pos="1826"/>
                <w:tab w:val="left" w:pos="3266"/>
                <w:tab w:val="left" w:pos="3626"/>
              </w:tabs>
              <w:ind w:left="386"/>
              <w:jc w:val="right"/>
              <w:rPr>
                <w:sz w:val="24"/>
              </w:rPr>
            </w:pPr>
            <w:r>
              <w:rPr>
                <w:sz w:val="24"/>
              </w:rPr>
              <w:t>-</w:t>
            </w:r>
          </w:p>
        </w:tc>
        <w:tc>
          <w:tcPr>
            <w:tcW w:w="1800" w:type="dxa"/>
          </w:tcPr>
          <w:p w:rsidR="003603ED" w:rsidRDefault="003603ED" w:rsidP="003603ED">
            <w:pPr>
              <w:pStyle w:val="TableParagraph"/>
              <w:tabs>
                <w:tab w:val="left" w:pos="1826"/>
                <w:tab w:val="left" w:pos="3266"/>
                <w:tab w:val="left" w:pos="3626"/>
              </w:tabs>
              <w:ind w:left="536"/>
              <w:jc w:val="right"/>
              <w:rPr>
                <w:sz w:val="24"/>
              </w:rPr>
            </w:pPr>
            <w:r>
              <w:rPr>
                <w:sz w:val="24"/>
              </w:rPr>
              <w:t>-</w:t>
            </w:r>
          </w:p>
        </w:tc>
        <w:tc>
          <w:tcPr>
            <w:tcW w:w="1530" w:type="dxa"/>
          </w:tcPr>
          <w:p w:rsidR="003603ED" w:rsidRDefault="003603ED" w:rsidP="003603ED">
            <w:pPr>
              <w:pStyle w:val="TableParagraph"/>
              <w:tabs>
                <w:tab w:val="left" w:pos="1826"/>
                <w:tab w:val="left" w:pos="3266"/>
                <w:tab w:val="left" w:pos="3626"/>
              </w:tabs>
              <w:jc w:val="right"/>
              <w:rPr>
                <w:sz w:val="24"/>
              </w:rPr>
            </w:pPr>
            <w:r>
              <w:rPr>
                <w:sz w:val="24"/>
              </w:rPr>
              <w:t>$5.62</w:t>
            </w:r>
          </w:p>
        </w:tc>
        <w:tc>
          <w:tcPr>
            <w:tcW w:w="2070" w:type="dxa"/>
          </w:tcPr>
          <w:p w:rsidR="003603ED" w:rsidRDefault="003603ED" w:rsidP="003603ED">
            <w:pPr>
              <w:pStyle w:val="TableParagraph"/>
              <w:tabs>
                <w:tab w:val="left" w:pos="609"/>
              </w:tabs>
              <w:jc w:val="right"/>
              <w:rPr>
                <w:sz w:val="24"/>
              </w:rPr>
            </w:pPr>
            <w:r>
              <w:rPr>
                <w:sz w:val="24"/>
              </w:rPr>
              <w:t>$5.62</w:t>
            </w:r>
          </w:p>
        </w:tc>
      </w:tr>
      <w:tr w:rsidR="003603ED" w:rsidTr="003603ED">
        <w:trPr>
          <w:trHeight w:val="484"/>
        </w:trPr>
        <w:tc>
          <w:tcPr>
            <w:tcW w:w="3150" w:type="dxa"/>
          </w:tcPr>
          <w:p w:rsidR="003603ED" w:rsidRDefault="003603ED">
            <w:pPr>
              <w:pStyle w:val="TableParagraph"/>
              <w:ind w:left="50"/>
              <w:rPr>
                <w:sz w:val="24"/>
              </w:rPr>
            </w:pPr>
            <w:r>
              <w:rPr>
                <w:sz w:val="24"/>
              </w:rPr>
              <w:t>Athletic</w:t>
            </w:r>
          </w:p>
        </w:tc>
        <w:tc>
          <w:tcPr>
            <w:tcW w:w="1890" w:type="dxa"/>
          </w:tcPr>
          <w:p w:rsidR="003603ED" w:rsidRDefault="003603ED" w:rsidP="003603ED">
            <w:pPr>
              <w:pStyle w:val="TableParagraph"/>
              <w:tabs>
                <w:tab w:val="left" w:pos="1826"/>
                <w:tab w:val="left" w:pos="3266"/>
              </w:tabs>
              <w:ind w:left="386"/>
              <w:jc w:val="right"/>
              <w:rPr>
                <w:sz w:val="24"/>
              </w:rPr>
            </w:pPr>
            <w:r>
              <w:rPr>
                <w:sz w:val="24"/>
              </w:rPr>
              <w:t>-</w:t>
            </w:r>
          </w:p>
        </w:tc>
        <w:tc>
          <w:tcPr>
            <w:tcW w:w="1800" w:type="dxa"/>
          </w:tcPr>
          <w:p w:rsidR="003603ED" w:rsidRDefault="003603ED" w:rsidP="003603ED">
            <w:pPr>
              <w:pStyle w:val="TableParagraph"/>
              <w:tabs>
                <w:tab w:val="left" w:pos="1826"/>
                <w:tab w:val="left" w:pos="3266"/>
              </w:tabs>
              <w:ind w:left="536"/>
              <w:jc w:val="right"/>
              <w:rPr>
                <w:sz w:val="24"/>
              </w:rPr>
            </w:pPr>
            <w:r>
              <w:rPr>
                <w:sz w:val="24"/>
              </w:rPr>
              <w:t>-</w:t>
            </w:r>
          </w:p>
        </w:tc>
        <w:tc>
          <w:tcPr>
            <w:tcW w:w="1530" w:type="dxa"/>
          </w:tcPr>
          <w:p w:rsidR="003603ED" w:rsidRDefault="003603ED" w:rsidP="003603ED">
            <w:pPr>
              <w:pStyle w:val="TableParagraph"/>
              <w:tabs>
                <w:tab w:val="left" w:pos="1826"/>
                <w:tab w:val="left" w:pos="3266"/>
              </w:tabs>
              <w:jc w:val="right"/>
              <w:rPr>
                <w:sz w:val="24"/>
              </w:rPr>
            </w:pPr>
            <w:r>
              <w:rPr>
                <w:sz w:val="24"/>
              </w:rPr>
              <w:t>$</w:t>
            </w:r>
            <w:r>
              <w:rPr>
                <w:spacing w:val="60"/>
                <w:sz w:val="24"/>
              </w:rPr>
              <w:t xml:space="preserve"> </w:t>
            </w:r>
            <w:r>
              <w:rPr>
                <w:sz w:val="24"/>
              </w:rPr>
              <w:t>12.25</w:t>
            </w:r>
          </w:p>
        </w:tc>
        <w:tc>
          <w:tcPr>
            <w:tcW w:w="2070" w:type="dxa"/>
          </w:tcPr>
          <w:p w:rsidR="003603ED" w:rsidRDefault="003603ED" w:rsidP="003603ED">
            <w:pPr>
              <w:pStyle w:val="TableParagraph"/>
              <w:jc w:val="right"/>
              <w:rPr>
                <w:sz w:val="24"/>
              </w:rPr>
            </w:pPr>
            <w:r>
              <w:rPr>
                <w:sz w:val="24"/>
              </w:rPr>
              <w:t>$ 12.25</w:t>
            </w:r>
          </w:p>
        </w:tc>
      </w:tr>
      <w:tr w:rsidR="003603ED" w:rsidTr="003603ED">
        <w:trPr>
          <w:trHeight w:val="408"/>
        </w:trPr>
        <w:tc>
          <w:tcPr>
            <w:tcW w:w="3150" w:type="dxa"/>
          </w:tcPr>
          <w:p w:rsidR="003603ED" w:rsidRDefault="003603ED">
            <w:pPr>
              <w:pStyle w:val="TableParagraph"/>
              <w:spacing w:line="256" w:lineRule="exact"/>
              <w:ind w:left="50"/>
              <w:rPr>
                <w:sz w:val="24"/>
              </w:rPr>
            </w:pPr>
            <w:r>
              <w:rPr>
                <w:sz w:val="24"/>
              </w:rPr>
              <w:t>Total</w:t>
            </w:r>
          </w:p>
        </w:tc>
        <w:tc>
          <w:tcPr>
            <w:tcW w:w="1890" w:type="dxa"/>
          </w:tcPr>
          <w:p w:rsidR="003603ED" w:rsidRDefault="003603ED" w:rsidP="003603ED">
            <w:pPr>
              <w:pStyle w:val="TableParagraph"/>
              <w:tabs>
                <w:tab w:val="left" w:pos="1826"/>
                <w:tab w:val="left" w:pos="3266"/>
              </w:tabs>
              <w:spacing w:line="256" w:lineRule="exact"/>
              <w:ind w:left="386"/>
              <w:jc w:val="right"/>
              <w:rPr>
                <w:sz w:val="24"/>
              </w:rPr>
            </w:pPr>
            <w:r>
              <w:rPr>
                <w:sz w:val="24"/>
              </w:rPr>
              <w:t>-</w:t>
            </w:r>
          </w:p>
        </w:tc>
        <w:tc>
          <w:tcPr>
            <w:tcW w:w="1800" w:type="dxa"/>
          </w:tcPr>
          <w:p w:rsidR="003603ED" w:rsidRDefault="003603ED" w:rsidP="003603ED">
            <w:pPr>
              <w:pStyle w:val="TableParagraph"/>
              <w:tabs>
                <w:tab w:val="left" w:pos="1826"/>
                <w:tab w:val="left" w:pos="3266"/>
              </w:tabs>
              <w:spacing w:line="256" w:lineRule="exact"/>
              <w:ind w:left="536"/>
              <w:jc w:val="right"/>
              <w:rPr>
                <w:sz w:val="24"/>
              </w:rPr>
            </w:pPr>
            <w:r>
              <w:rPr>
                <w:sz w:val="24"/>
              </w:rPr>
              <w:t>-</w:t>
            </w:r>
          </w:p>
        </w:tc>
        <w:tc>
          <w:tcPr>
            <w:tcW w:w="1530" w:type="dxa"/>
          </w:tcPr>
          <w:p w:rsidR="003603ED" w:rsidRDefault="003603ED" w:rsidP="003603ED">
            <w:pPr>
              <w:pStyle w:val="TableParagraph"/>
              <w:tabs>
                <w:tab w:val="left" w:pos="1826"/>
                <w:tab w:val="left" w:pos="3266"/>
              </w:tabs>
              <w:spacing w:line="256" w:lineRule="exact"/>
              <w:jc w:val="right"/>
              <w:rPr>
                <w:sz w:val="24"/>
              </w:rPr>
            </w:pPr>
            <w:r>
              <w:rPr>
                <w:sz w:val="24"/>
              </w:rPr>
              <w:t>$265.53</w:t>
            </w:r>
          </w:p>
        </w:tc>
        <w:tc>
          <w:tcPr>
            <w:tcW w:w="2070" w:type="dxa"/>
          </w:tcPr>
          <w:p w:rsidR="003603ED" w:rsidRDefault="003603ED" w:rsidP="003603ED">
            <w:pPr>
              <w:pStyle w:val="TableParagraph"/>
              <w:spacing w:line="256" w:lineRule="exact"/>
              <w:jc w:val="right"/>
              <w:rPr>
                <w:sz w:val="24"/>
              </w:rPr>
            </w:pPr>
            <w:r>
              <w:rPr>
                <w:sz w:val="24"/>
              </w:rPr>
              <w:t>$916.00</w:t>
            </w:r>
          </w:p>
        </w:tc>
      </w:tr>
    </w:tbl>
    <w:p w:rsidR="00950473" w:rsidRDefault="00950473">
      <w:pPr>
        <w:pStyle w:val="BodyText"/>
        <w:rPr>
          <w:sz w:val="26"/>
        </w:rPr>
      </w:pPr>
    </w:p>
    <w:p w:rsidR="00950473" w:rsidRDefault="00950473">
      <w:pPr>
        <w:pStyle w:val="BodyText"/>
        <w:rPr>
          <w:sz w:val="26"/>
        </w:rPr>
      </w:pPr>
    </w:p>
    <w:p w:rsidR="00950473" w:rsidRDefault="003603ED">
      <w:pPr>
        <w:pStyle w:val="ListParagraph"/>
        <w:numPr>
          <w:ilvl w:val="0"/>
          <w:numId w:val="2"/>
        </w:numPr>
        <w:tabs>
          <w:tab w:val="left" w:pos="1763"/>
        </w:tabs>
        <w:spacing w:before="230" w:line="480" w:lineRule="auto"/>
        <w:ind w:left="499" w:right="498" w:firstLine="720"/>
        <w:jc w:val="both"/>
        <w:rPr>
          <w:sz w:val="24"/>
        </w:rPr>
      </w:pPr>
      <w:r>
        <w:rPr>
          <w:sz w:val="24"/>
        </w:rPr>
        <w:t>Pursuant to Section 1009.285 F.S., each student enrolled in the same undergraduate course more than twice, shall be assessed an additional $170.22 per credit hour charge in addition to the fees outlined above in paragraph (4)(a) for each</w:t>
      </w:r>
      <w:r>
        <w:rPr>
          <w:spacing w:val="-12"/>
          <w:sz w:val="24"/>
        </w:rPr>
        <w:t xml:space="preserve"> </w:t>
      </w:r>
      <w:r>
        <w:rPr>
          <w:sz w:val="24"/>
        </w:rPr>
        <w:t>course.</w:t>
      </w:r>
    </w:p>
    <w:p w:rsidR="00950473" w:rsidRDefault="003603ED">
      <w:pPr>
        <w:ind w:left="500" w:right="498"/>
        <w:jc w:val="both"/>
        <w:rPr>
          <w:i/>
          <w:sz w:val="24"/>
        </w:rPr>
      </w:pPr>
      <w:r>
        <w:rPr>
          <w:i/>
          <w:sz w:val="24"/>
        </w:rPr>
        <w:t>Authority: Resolution of the Florida Board of Governors dated January 7, 2003, F.S. 1001.74 (11) and F.S 1009.24.</w:t>
      </w:r>
    </w:p>
    <w:p w:rsidR="00950473" w:rsidRDefault="003603ED">
      <w:pPr>
        <w:tabs>
          <w:tab w:val="left" w:pos="6653"/>
        </w:tabs>
        <w:ind w:left="500"/>
        <w:jc w:val="both"/>
        <w:rPr>
          <w:i/>
          <w:sz w:val="24"/>
        </w:rPr>
      </w:pPr>
      <w:r>
        <w:rPr>
          <w:i/>
          <w:sz w:val="24"/>
        </w:rPr>
        <w:t>History: New 5-2-04, Amended</w:t>
      </w:r>
      <w:r>
        <w:rPr>
          <w:i/>
          <w:spacing w:val="-7"/>
          <w:sz w:val="24"/>
        </w:rPr>
        <w:t xml:space="preserve"> </w:t>
      </w:r>
      <w:r>
        <w:rPr>
          <w:i/>
          <w:sz w:val="24"/>
        </w:rPr>
        <w:t>10-20-05,</w:t>
      </w:r>
      <w:r>
        <w:rPr>
          <w:i/>
          <w:spacing w:val="1"/>
          <w:sz w:val="24"/>
        </w:rPr>
        <w:t xml:space="preserve"> </w:t>
      </w:r>
      <w:r>
        <w:rPr>
          <w:i/>
          <w:sz w:val="24"/>
        </w:rPr>
        <w:t>Amended</w:t>
      </w:r>
      <w:r>
        <w:rPr>
          <w:i/>
          <w:sz w:val="24"/>
          <w:u w:val="single"/>
        </w:rPr>
        <w:t xml:space="preserve"> </w:t>
      </w:r>
      <w:r>
        <w:rPr>
          <w:i/>
          <w:sz w:val="24"/>
          <w:u w:val="single"/>
        </w:rPr>
        <w:tab/>
      </w:r>
      <w:r>
        <w:rPr>
          <w:i/>
          <w:sz w:val="24"/>
        </w:rPr>
        <w:t>.</w:t>
      </w:r>
    </w:p>
    <w:p w:rsidR="00950473" w:rsidRDefault="00950473">
      <w:pPr>
        <w:jc w:val="both"/>
        <w:rPr>
          <w:sz w:val="24"/>
        </w:rPr>
        <w:sectPr w:rsidR="00950473">
          <w:pgSz w:w="12240" w:h="15840"/>
          <w:pgMar w:top="1360" w:right="1300" w:bottom="280" w:left="1300" w:header="720" w:footer="720" w:gutter="0"/>
          <w:cols w:space="720"/>
        </w:sectPr>
      </w:pPr>
    </w:p>
    <w:p w:rsidR="00950473" w:rsidRDefault="003603ED">
      <w:pPr>
        <w:spacing w:before="77"/>
        <w:ind w:left="8179" w:right="134" w:firstLine="648"/>
        <w:jc w:val="right"/>
        <w:rPr>
          <w:rFonts w:ascii="Arial"/>
        </w:rPr>
      </w:pPr>
      <w:bookmarkStart w:id="7" w:name="07_BOT_07-25-06_Item_06_Special_Fees,_Fi"/>
      <w:bookmarkEnd w:id="7"/>
      <w:r>
        <w:rPr>
          <w:rFonts w:ascii="Arial"/>
        </w:rPr>
        <w:lastRenderedPageBreak/>
        <w:t>Item: 6</w:t>
      </w:r>
      <w:r>
        <w:rPr>
          <w:rFonts w:ascii="Arial"/>
        </w:rPr>
        <w:t xml:space="preserve"> </w:t>
      </w:r>
      <w:r>
        <w:rPr>
          <w:rFonts w:ascii="Arial"/>
        </w:rPr>
        <w:t>Attachment B</w:t>
      </w:r>
    </w:p>
    <w:p w:rsidR="00950473" w:rsidRDefault="00950473">
      <w:pPr>
        <w:pStyle w:val="BodyText"/>
        <w:spacing w:before="11"/>
        <w:rPr>
          <w:rFonts w:ascii="Arial"/>
          <w:sz w:val="19"/>
        </w:rPr>
      </w:pPr>
    </w:p>
    <w:p w:rsidR="00950473" w:rsidRDefault="003603ED" w:rsidP="003603ED">
      <w:pPr>
        <w:pStyle w:val="Heading1"/>
      </w:pPr>
      <w:r>
        <w:t>NOTICE OF REGULATION AMENDMENT</w:t>
      </w:r>
    </w:p>
    <w:p w:rsidR="00950473" w:rsidRPr="003603ED" w:rsidRDefault="003603ED" w:rsidP="003603ED">
      <w:pPr>
        <w:jc w:val="center"/>
        <w:rPr>
          <w:b/>
          <w:bCs/>
          <w:sz w:val="28"/>
          <w:szCs w:val="28"/>
        </w:rPr>
      </w:pPr>
      <w:r w:rsidRPr="003603ED">
        <w:rPr>
          <w:b/>
          <w:bCs/>
          <w:sz w:val="28"/>
          <w:szCs w:val="28"/>
        </w:rPr>
        <w:t>June 23, 2006</w:t>
      </w:r>
    </w:p>
    <w:p w:rsidR="00950473" w:rsidRDefault="00950473">
      <w:pPr>
        <w:pStyle w:val="BodyText"/>
        <w:rPr>
          <w:rFonts w:ascii="Arial"/>
          <w:b/>
          <w:sz w:val="26"/>
        </w:rPr>
      </w:pPr>
    </w:p>
    <w:p w:rsidR="00950473" w:rsidRDefault="003603ED">
      <w:pPr>
        <w:spacing w:before="229"/>
        <w:ind w:left="140"/>
        <w:rPr>
          <w:rFonts w:ascii="Arial"/>
          <w:b/>
        </w:rPr>
      </w:pPr>
      <w:r>
        <w:rPr>
          <w:rFonts w:ascii="Arial"/>
          <w:b/>
        </w:rPr>
        <w:t>DEPARTMENT OF EDUCATION</w:t>
      </w:r>
    </w:p>
    <w:p w:rsidR="00950473" w:rsidRDefault="003603ED">
      <w:pPr>
        <w:spacing w:before="1"/>
        <w:ind w:left="140" w:right="6937"/>
        <w:rPr>
          <w:rFonts w:ascii="Arial"/>
        </w:rPr>
      </w:pPr>
      <w:r>
        <w:rPr>
          <w:rFonts w:ascii="Arial"/>
        </w:rPr>
        <w:t>Division of Universities University of North Florida</w:t>
      </w:r>
    </w:p>
    <w:p w:rsidR="00950473" w:rsidRDefault="00950473">
      <w:pPr>
        <w:pStyle w:val="BodyText"/>
        <w:spacing w:before="10"/>
        <w:rPr>
          <w:rFonts w:ascii="Arial"/>
          <w:sz w:val="21"/>
        </w:rPr>
      </w:pPr>
    </w:p>
    <w:p w:rsidR="00950473" w:rsidRDefault="003603ED">
      <w:pPr>
        <w:spacing w:before="1"/>
        <w:ind w:left="140"/>
        <w:rPr>
          <w:rFonts w:ascii="Arial"/>
          <w:b/>
        </w:rPr>
      </w:pPr>
      <w:r>
        <w:rPr>
          <w:rFonts w:ascii="Arial"/>
          <w:b/>
        </w:rPr>
        <w:t>REGULATION TITLE:</w:t>
      </w:r>
    </w:p>
    <w:p w:rsidR="00950473" w:rsidRDefault="003603ED">
      <w:pPr>
        <w:spacing w:before="1"/>
        <w:ind w:left="140"/>
        <w:rPr>
          <w:rFonts w:ascii="Arial"/>
        </w:rPr>
      </w:pPr>
      <w:r>
        <w:rPr>
          <w:rFonts w:ascii="Arial"/>
        </w:rPr>
        <w:t>Special Fees, Fines and Penalties.</w:t>
      </w:r>
    </w:p>
    <w:p w:rsidR="00950473" w:rsidRDefault="00950473">
      <w:pPr>
        <w:pStyle w:val="BodyText"/>
        <w:spacing w:before="9"/>
        <w:rPr>
          <w:rFonts w:ascii="Arial"/>
          <w:sz w:val="21"/>
        </w:rPr>
      </w:pPr>
    </w:p>
    <w:p w:rsidR="00950473" w:rsidRDefault="003603ED">
      <w:pPr>
        <w:ind w:left="140"/>
        <w:rPr>
          <w:rFonts w:ascii="Arial"/>
          <w:b/>
        </w:rPr>
      </w:pPr>
      <w:r>
        <w:rPr>
          <w:rFonts w:ascii="Arial"/>
          <w:b/>
        </w:rPr>
        <w:t>REGULATION NO.:</w:t>
      </w:r>
    </w:p>
    <w:p w:rsidR="00950473" w:rsidRDefault="003603ED">
      <w:pPr>
        <w:spacing w:before="2"/>
        <w:ind w:left="140"/>
        <w:rPr>
          <w:rFonts w:ascii="Arial"/>
        </w:rPr>
      </w:pPr>
      <w:r>
        <w:rPr>
          <w:rFonts w:ascii="Arial"/>
        </w:rPr>
        <w:t>8.1002</w:t>
      </w:r>
    </w:p>
    <w:p w:rsidR="00950473" w:rsidRDefault="00950473">
      <w:pPr>
        <w:pStyle w:val="BodyText"/>
        <w:spacing w:before="9"/>
        <w:rPr>
          <w:rFonts w:ascii="Arial"/>
          <w:sz w:val="21"/>
        </w:rPr>
      </w:pPr>
    </w:p>
    <w:p w:rsidR="00950473" w:rsidRDefault="003603ED">
      <w:pPr>
        <w:ind w:left="140"/>
        <w:rPr>
          <w:rFonts w:ascii="Arial"/>
          <w:b/>
        </w:rPr>
      </w:pPr>
      <w:r>
        <w:rPr>
          <w:rFonts w:ascii="Arial"/>
          <w:b/>
        </w:rPr>
        <w:t>SUMMARY:</w:t>
      </w:r>
    </w:p>
    <w:p w:rsidR="00950473" w:rsidRDefault="003603ED">
      <w:pPr>
        <w:spacing w:before="2"/>
        <w:ind w:left="140" w:right="174" w:hanging="1"/>
        <w:rPr>
          <w:rFonts w:ascii="Arial"/>
        </w:rPr>
      </w:pPr>
      <w:r>
        <w:rPr>
          <w:rFonts w:ascii="Arial"/>
        </w:rPr>
        <w:t>The regulation is being amended in order to o</w:t>
      </w:r>
      <w:r>
        <w:rPr>
          <w:rFonts w:ascii="Arial"/>
        </w:rPr>
        <w:t>mit publishing of the specific housing and childcare rates in the regulation and to set forth website links to the respective departments which post the current fees and rates on-line. The regulation is also being amended in order to capture the increase i</w:t>
      </w:r>
      <w:r>
        <w:rPr>
          <w:rFonts w:ascii="Arial"/>
        </w:rPr>
        <w:t>n the Experiential Learning Fee which is part of the UNF Honors Program.</w:t>
      </w:r>
    </w:p>
    <w:p w:rsidR="00950473" w:rsidRDefault="00950473">
      <w:pPr>
        <w:pStyle w:val="BodyText"/>
        <w:spacing w:before="8"/>
        <w:rPr>
          <w:rFonts w:ascii="Arial"/>
          <w:sz w:val="21"/>
        </w:rPr>
      </w:pPr>
    </w:p>
    <w:p w:rsidR="00950473" w:rsidRDefault="003603ED">
      <w:pPr>
        <w:ind w:left="140"/>
        <w:rPr>
          <w:rFonts w:ascii="Arial"/>
          <w:b/>
        </w:rPr>
      </w:pPr>
      <w:r>
        <w:rPr>
          <w:rFonts w:ascii="Arial"/>
          <w:b/>
        </w:rPr>
        <w:t>FULL TEXT:</w:t>
      </w:r>
    </w:p>
    <w:p w:rsidR="00950473" w:rsidRDefault="003603ED">
      <w:pPr>
        <w:spacing w:before="4"/>
        <w:ind w:left="140"/>
        <w:rPr>
          <w:rFonts w:ascii="Arial"/>
        </w:rPr>
      </w:pPr>
      <w:r>
        <w:rPr>
          <w:rFonts w:ascii="Arial"/>
        </w:rPr>
        <w:t>The full text of the regulation being proposed is attached.</w:t>
      </w:r>
    </w:p>
    <w:p w:rsidR="00950473" w:rsidRDefault="00950473">
      <w:pPr>
        <w:pStyle w:val="BodyText"/>
        <w:spacing w:before="9"/>
        <w:rPr>
          <w:rFonts w:ascii="Arial"/>
          <w:sz w:val="21"/>
        </w:rPr>
      </w:pPr>
    </w:p>
    <w:p w:rsidR="00950473" w:rsidRDefault="003603ED">
      <w:pPr>
        <w:spacing w:before="1"/>
        <w:ind w:left="140"/>
        <w:rPr>
          <w:rFonts w:ascii="Arial"/>
          <w:b/>
        </w:rPr>
      </w:pPr>
      <w:r>
        <w:rPr>
          <w:rFonts w:ascii="Arial"/>
          <w:b/>
        </w:rPr>
        <w:t>AUTHORITY:</w:t>
      </w:r>
    </w:p>
    <w:p w:rsidR="00950473" w:rsidRDefault="003603ED">
      <w:pPr>
        <w:spacing w:before="1"/>
        <w:ind w:left="140" w:right="2435"/>
        <w:rPr>
          <w:rFonts w:ascii="Arial"/>
        </w:rPr>
      </w:pPr>
      <w:r>
        <w:rPr>
          <w:rFonts w:ascii="Arial"/>
        </w:rPr>
        <w:t>Resolution of the Florida Board of Governors dated January 7, 2003 and Florida Statutes and 1001.74 (10)(11) and 1009.24.</w:t>
      </w:r>
    </w:p>
    <w:p w:rsidR="00950473" w:rsidRDefault="00950473">
      <w:pPr>
        <w:pStyle w:val="BodyText"/>
        <w:spacing w:before="8"/>
        <w:rPr>
          <w:rFonts w:ascii="Arial"/>
          <w:sz w:val="21"/>
        </w:rPr>
      </w:pPr>
    </w:p>
    <w:p w:rsidR="00950473" w:rsidRDefault="003603ED">
      <w:pPr>
        <w:ind w:left="140"/>
        <w:rPr>
          <w:rFonts w:ascii="Arial"/>
          <w:b/>
        </w:rPr>
      </w:pPr>
      <w:r>
        <w:rPr>
          <w:rFonts w:ascii="Arial"/>
          <w:b/>
        </w:rPr>
        <w:t>UNIVERSITY OFFICIAL INITIATING THE PROPOSED REGULATION AMENDMENT:</w:t>
      </w:r>
    </w:p>
    <w:p w:rsidR="00950473" w:rsidRDefault="003603ED">
      <w:pPr>
        <w:spacing w:before="4"/>
        <w:ind w:left="140"/>
        <w:rPr>
          <w:rFonts w:ascii="Arial"/>
        </w:rPr>
      </w:pPr>
      <w:r>
        <w:rPr>
          <w:rFonts w:ascii="Arial"/>
        </w:rPr>
        <w:t xml:space="preserve">Thomas </w:t>
      </w:r>
      <w:proofErr w:type="spellStart"/>
      <w:r>
        <w:rPr>
          <w:rFonts w:ascii="Arial"/>
        </w:rPr>
        <w:t>Serwatka</w:t>
      </w:r>
      <w:proofErr w:type="spellEnd"/>
      <w:r>
        <w:rPr>
          <w:rFonts w:ascii="Arial"/>
        </w:rPr>
        <w:t>, Vice President and Chief of Staff</w:t>
      </w:r>
    </w:p>
    <w:p w:rsidR="00950473" w:rsidRDefault="00950473">
      <w:pPr>
        <w:pStyle w:val="BodyText"/>
        <w:spacing w:before="9"/>
        <w:rPr>
          <w:rFonts w:ascii="Arial"/>
          <w:sz w:val="21"/>
        </w:rPr>
      </w:pPr>
    </w:p>
    <w:p w:rsidR="00950473" w:rsidRDefault="003603ED">
      <w:pPr>
        <w:spacing w:before="1"/>
        <w:ind w:left="140" w:right="1315"/>
        <w:rPr>
          <w:rFonts w:ascii="Arial"/>
          <w:b/>
        </w:rPr>
      </w:pPr>
      <w:r>
        <w:rPr>
          <w:rFonts w:ascii="Arial"/>
          <w:b/>
        </w:rPr>
        <w:t>INDIVIDUAL TO B</w:t>
      </w:r>
      <w:r>
        <w:rPr>
          <w:rFonts w:ascii="Arial"/>
          <w:b/>
        </w:rPr>
        <w:t>E CONTACTED REGARDING THE PROPOSED REGULATION AMENDMENT:</w:t>
      </w:r>
    </w:p>
    <w:p w:rsidR="00950473" w:rsidRDefault="003603ED">
      <w:pPr>
        <w:spacing w:before="1"/>
        <w:ind w:left="140" w:right="133"/>
        <w:rPr>
          <w:rFonts w:ascii="Arial"/>
        </w:rPr>
      </w:pPr>
      <w:r>
        <w:rPr>
          <w:rFonts w:ascii="Arial"/>
        </w:rPr>
        <w:t xml:space="preserve">Stephanie Howell, Paralegal, Office of the General Counsel, </w:t>
      </w:r>
      <w:hyperlink r:id="rId8">
        <w:r>
          <w:rPr>
            <w:rFonts w:ascii="Arial"/>
            <w:color w:val="0000FF"/>
            <w:u w:val="single" w:color="0000FF"/>
          </w:rPr>
          <w:t>showell@unf.edu</w:t>
        </w:r>
        <w:r>
          <w:rPr>
            <w:rFonts w:ascii="Arial"/>
          </w:rPr>
          <w:t xml:space="preserve">, </w:t>
        </w:r>
      </w:hyperlink>
      <w:r>
        <w:rPr>
          <w:rFonts w:ascii="Arial"/>
        </w:rPr>
        <w:t>phone (904)620- 2828; fax (904)620-1044; Building 1, Room 2400, 4567 St. Johns B</w:t>
      </w:r>
      <w:r>
        <w:rPr>
          <w:rFonts w:ascii="Arial"/>
        </w:rPr>
        <w:t>luff Road South,</w:t>
      </w:r>
    </w:p>
    <w:p w:rsidR="00950473" w:rsidRDefault="003603ED">
      <w:pPr>
        <w:spacing w:before="1"/>
        <w:ind w:left="139"/>
        <w:rPr>
          <w:rFonts w:ascii="Arial"/>
        </w:rPr>
      </w:pPr>
      <w:r>
        <w:rPr>
          <w:rFonts w:ascii="Arial"/>
        </w:rPr>
        <w:t>Jacksonville, FL 32224.</w:t>
      </w:r>
    </w:p>
    <w:p w:rsidR="00950473" w:rsidRDefault="00950473">
      <w:pPr>
        <w:pStyle w:val="BodyText"/>
        <w:rPr>
          <w:rFonts w:ascii="Arial"/>
        </w:rPr>
      </w:pPr>
    </w:p>
    <w:p w:rsidR="00950473" w:rsidRDefault="00950473">
      <w:pPr>
        <w:pStyle w:val="BodyText"/>
        <w:spacing w:before="11"/>
        <w:rPr>
          <w:rFonts w:ascii="Arial"/>
          <w:sz w:val="19"/>
        </w:rPr>
      </w:pPr>
    </w:p>
    <w:p w:rsidR="00950473" w:rsidRDefault="003603ED">
      <w:pPr>
        <w:ind w:left="139" w:right="240"/>
        <w:rPr>
          <w:rFonts w:ascii="Arial"/>
          <w:b/>
          <w:i/>
        </w:rPr>
      </w:pPr>
      <w:r>
        <w:rPr>
          <w:rFonts w:ascii="Arial"/>
          <w:b/>
          <w:i/>
        </w:rPr>
        <w:t>Any comments regarding the amendment of the regulation must be sent in writing to the contact person on or before July 7, 2006 to receive full consideration.</w:t>
      </w:r>
    </w:p>
    <w:p w:rsidR="00950473" w:rsidRDefault="00950473">
      <w:pPr>
        <w:rPr>
          <w:rFonts w:ascii="Arial"/>
        </w:rPr>
        <w:sectPr w:rsidR="00950473">
          <w:pgSz w:w="12240" w:h="15840"/>
          <w:pgMar w:top="1360" w:right="1300" w:bottom="280" w:left="1300" w:header="720" w:footer="720" w:gutter="0"/>
          <w:cols w:space="720"/>
        </w:sectPr>
      </w:pPr>
    </w:p>
    <w:p w:rsidR="00950473" w:rsidRDefault="003603ED" w:rsidP="003603ED">
      <w:pPr>
        <w:pStyle w:val="Heading2"/>
      </w:pPr>
      <w:r>
        <w:lastRenderedPageBreak/>
        <w:t>8.1002 Special Fees, Fines and Penalties.</w:t>
      </w:r>
    </w:p>
    <w:p w:rsidR="00950473" w:rsidRDefault="00950473">
      <w:pPr>
        <w:pStyle w:val="BodyText"/>
        <w:spacing w:before="5"/>
        <w:rPr>
          <w:b/>
          <w:sz w:val="27"/>
        </w:rPr>
      </w:pPr>
    </w:p>
    <w:p w:rsidR="00950473" w:rsidRDefault="003603ED">
      <w:pPr>
        <w:pStyle w:val="BodyText"/>
        <w:spacing w:line="480" w:lineRule="auto"/>
        <w:ind w:left="139" w:right="164" w:firstLine="720"/>
      </w:pPr>
      <w:r>
        <w:t>The University of North Florida Board of Trustees must authorize all fees assessed, unless specifically delegated herein to the President. For purposes of clarification, the term “at cost” or “cost” as used in thi</w:t>
      </w:r>
      <w:r>
        <w:t>s regulation includes those increased costs that are directly related to the delivery of the goods or services. The University of North Florida Board of Trustees has delegated authority to the president to set the following fees, except those fees authoriz</w:t>
      </w:r>
      <w:r>
        <w:t>ed in subsections (32) and (36), below, which require the approval of the board.</w:t>
      </w:r>
    </w:p>
    <w:p w:rsidR="00950473" w:rsidRDefault="003603ED">
      <w:pPr>
        <w:pStyle w:val="ListParagraph"/>
        <w:numPr>
          <w:ilvl w:val="0"/>
          <w:numId w:val="1"/>
        </w:numPr>
        <w:tabs>
          <w:tab w:val="left" w:pos="1579"/>
          <w:tab w:val="left" w:pos="1580"/>
        </w:tabs>
        <w:spacing w:before="1" w:line="480" w:lineRule="auto"/>
        <w:ind w:left="139" w:right="438" w:firstLine="720"/>
        <w:rPr>
          <w:sz w:val="24"/>
        </w:rPr>
      </w:pPr>
      <w:r>
        <w:rPr>
          <w:sz w:val="24"/>
        </w:rPr>
        <w:t>Audit Registration Fees – Audit registration assures a course space for the student; however, no grade is awarded. This fee is the same as the resident tuition provided in Reg</w:t>
      </w:r>
      <w:r>
        <w:rPr>
          <w:sz w:val="24"/>
        </w:rPr>
        <w:t>ulation</w:t>
      </w:r>
      <w:r>
        <w:rPr>
          <w:spacing w:val="-1"/>
          <w:sz w:val="24"/>
        </w:rPr>
        <w:t xml:space="preserve"> </w:t>
      </w:r>
      <w:r>
        <w:rPr>
          <w:sz w:val="24"/>
        </w:rPr>
        <w:t>6C9-8.001.</w:t>
      </w:r>
    </w:p>
    <w:p w:rsidR="00950473" w:rsidRDefault="003603ED">
      <w:pPr>
        <w:pStyle w:val="ListParagraph"/>
        <w:numPr>
          <w:ilvl w:val="0"/>
          <w:numId w:val="1"/>
        </w:numPr>
        <w:tabs>
          <w:tab w:val="left" w:pos="1579"/>
          <w:tab w:val="left" w:pos="1580"/>
        </w:tabs>
        <w:spacing w:line="480" w:lineRule="auto"/>
        <w:ind w:left="139" w:right="468" w:firstLine="720"/>
        <w:rPr>
          <w:sz w:val="24"/>
        </w:rPr>
      </w:pPr>
      <w:r>
        <w:rPr>
          <w:sz w:val="24"/>
        </w:rPr>
        <w:t>Registration of Zero Hours – Such registration provides for examinations, graduations, use of facilities, etc., when deemed appropriate by the University. A student will not be assessed resident</w:t>
      </w:r>
      <w:r>
        <w:rPr>
          <w:spacing w:val="-2"/>
          <w:sz w:val="24"/>
        </w:rPr>
        <w:t xml:space="preserve"> </w:t>
      </w:r>
      <w:r>
        <w:rPr>
          <w:sz w:val="24"/>
        </w:rPr>
        <w:t>tuition.</w:t>
      </w:r>
    </w:p>
    <w:p w:rsidR="00950473" w:rsidRDefault="003603ED">
      <w:pPr>
        <w:pStyle w:val="ListParagraph"/>
        <w:numPr>
          <w:ilvl w:val="0"/>
          <w:numId w:val="1"/>
        </w:numPr>
        <w:tabs>
          <w:tab w:val="left" w:pos="1579"/>
          <w:tab w:val="left" w:pos="1580"/>
        </w:tabs>
        <w:spacing w:line="480" w:lineRule="auto"/>
        <w:ind w:left="139" w:right="359" w:firstLine="720"/>
        <w:rPr>
          <w:sz w:val="24"/>
        </w:rPr>
      </w:pPr>
      <w:r>
        <w:rPr>
          <w:sz w:val="24"/>
        </w:rPr>
        <w:t>Application Fee – Individuals who</w:t>
      </w:r>
      <w:r>
        <w:rPr>
          <w:sz w:val="24"/>
        </w:rPr>
        <w:t xml:space="preserve"> make application for admission to the University of North Florida shall pay a non-fundable Application Fee of $30.00 for paper applications and $20.00 for electronic applications. This fee will be waived for applicants who can document that they have rece</w:t>
      </w:r>
      <w:r>
        <w:rPr>
          <w:sz w:val="24"/>
        </w:rPr>
        <w:t>ived a fee waiver because of economic need as determined by the College Board or the American College Testing</w:t>
      </w:r>
      <w:r>
        <w:rPr>
          <w:spacing w:val="-6"/>
          <w:sz w:val="24"/>
        </w:rPr>
        <w:t xml:space="preserve"> </w:t>
      </w:r>
      <w:r>
        <w:rPr>
          <w:sz w:val="24"/>
        </w:rPr>
        <w:t>Program.</w:t>
      </w:r>
    </w:p>
    <w:p w:rsidR="00950473" w:rsidRDefault="003603ED">
      <w:pPr>
        <w:pStyle w:val="ListParagraph"/>
        <w:numPr>
          <w:ilvl w:val="0"/>
          <w:numId w:val="1"/>
        </w:numPr>
        <w:tabs>
          <w:tab w:val="left" w:pos="1579"/>
          <w:tab w:val="left" w:pos="1580"/>
        </w:tabs>
        <w:spacing w:line="480" w:lineRule="auto"/>
        <w:ind w:left="139" w:right="156" w:firstLine="720"/>
        <w:rPr>
          <w:sz w:val="24"/>
        </w:rPr>
      </w:pPr>
      <w:r>
        <w:rPr>
          <w:sz w:val="24"/>
        </w:rPr>
        <w:t>Admission Deposit – Individuals accepted for admission to the University of North Florida may be required to pay a $200 deposit to secure</w:t>
      </w:r>
      <w:r>
        <w:rPr>
          <w:sz w:val="24"/>
        </w:rPr>
        <w:t xml:space="preserve"> their admission to the University. Upon enrollment, this admission deposit will be used as a partial payment of the student’s tuition.  Should the individual not enroll in the University, the deposit is non-refundable.  This fee will be waived for applica</w:t>
      </w:r>
      <w:r>
        <w:rPr>
          <w:sz w:val="24"/>
        </w:rPr>
        <w:t>nts who can document that they have received a fee waiver</w:t>
      </w:r>
      <w:r>
        <w:rPr>
          <w:spacing w:val="-19"/>
          <w:sz w:val="24"/>
        </w:rPr>
        <w:t xml:space="preserve"> </w:t>
      </w:r>
      <w:r>
        <w:rPr>
          <w:sz w:val="24"/>
        </w:rPr>
        <w:t>because</w:t>
      </w:r>
    </w:p>
    <w:p w:rsidR="00950473" w:rsidRDefault="00950473">
      <w:pPr>
        <w:pStyle w:val="BodyText"/>
        <w:rPr>
          <w:sz w:val="26"/>
        </w:rPr>
      </w:pPr>
    </w:p>
    <w:p w:rsidR="00950473" w:rsidRDefault="00950473">
      <w:pPr>
        <w:pStyle w:val="BodyText"/>
        <w:spacing w:before="8"/>
        <w:rPr>
          <w:sz w:val="27"/>
        </w:rPr>
      </w:pPr>
    </w:p>
    <w:p w:rsidR="00950473" w:rsidRDefault="00950473" w:rsidP="003603ED">
      <w:pPr>
        <w:pStyle w:val="BodyText"/>
        <w:ind w:right="4759"/>
        <w:jc w:val="center"/>
        <w:sectPr w:rsidR="00950473">
          <w:pgSz w:w="12240" w:h="15840"/>
          <w:pgMar w:top="1360" w:right="1300" w:bottom="280" w:left="1300" w:header="720" w:footer="720" w:gutter="0"/>
          <w:cols w:space="720"/>
        </w:sectPr>
      </w:pPr>
    </w:p>
    <w:p w:rsidR="00950473" w:rsidRDefault="003603ED">
      <w:pPr>
        <w:pStyle w:val="BodyText"/>
        <w:spacing w:before="72" w:line="480" w:lineRule="auto"/>
        <w:ind w:left="140" w:right="1062"/>
      </w:pPr>
      <w:r>
        <w:lastRenderedPageBreak/>
        <w:t>o</w:t>
      </w:r>
      <w:r>
        <w:t>f economic need as determined by the College Board or the American College Testing Program.</w:t>
      </w:r>
    </w:p>
    <w:p w:rsidR="00950473" w:rsidRDefault="003603ED">
      <w:pPr>
        <w:pStyle w:val="ListParagraph"/>
        <w:numPr>
          <w:ilvl w:val="0"/>
          <w:numId w:val="1"/>
        </w:numPr>
        <w:tabs>
          <w:tab w:val="left" w:pos="1579"/>
          <w:tab w:val="left" w:pos="1580"/>
        </w:tabs>
        <w:spacing w:line="480" w:lineRule="auto"/>
        <w:ind w:right="161" w:firstLine="720"/>
        <w:rPr>
          <w:sz w:val="24"/>
        </w:rPr>
      </w:pPr>
      <w:r>
        <w:rPr>
          <w:sz w:val="24"/>
        </w:rPr>
        <w:t>Continuing Education Course Fees – Any fees charged students for continuing education credit activities, which are higher than the normal approved fees for similar</w:t>
      </w:r>
      <w:r>
        <w:rPr>
          <w:sz w:val="24"/>
        </w:rPr>
        <w:t xml:space="preserve"> credit activities offered in the regular on-campus program, shall be established solely for the purpose</w:t>
      </w:r>
      <w:r>
        <w:rPr>
          <w:spacing w:val="-21"/>
          <w:sz w:val="24"/>
        </w:rPr>
        <w:t xml:space="preserve"> </w:t>
      </w:r>
      <w:r>
        <w:rPr>
          <w:sz w:val="24"/>
        </w:rPr>
        <w:t>of recovering all increased costs which result from offering these courses as continuing education activities.</w:t>
      </w:r>
    </w:p>
    <w:p w:rsidR="00950473" w:rsidRDefault="003603ED">
      <w:pPr>
        <w:pStyle w:val="ListParagraph"/>
        <w:numPr>
          <w:ilvl w:val="0"/>
          <w:numId w:val="1"/>
        </w:numPr>
        <w:tabs>
          <w:tab w:val="left" w:pos="1579"/>
          <w:tab w:val="left" w:pos="1580"/>
        </w:tabs>
        <w:spacing w:line="480" w:lineRule="auto"/>
        <w:ind w:right="405" w:firstLine="720"/>
        <w:rPr>
          <w:sz w:val="24"/>
        </w:rPr>
      </w:pPr>
      <w:r>
        <w:rPr>
          <w:sz w:val="24"/>
        </w:rPr>
        <w:t>Late Registration Fee – The University w</w:t>
      </w:r>
      <w:r>
        <w:rPr>
          <w:sz w:val="24"/>
        </w:rPr>
        <w:t>ill assess a late registration fee against students who fail to initiate registration in the regular registration period. The fee shall</w:t>
      </w:r>
      <w:r>
        <w:rPr>
          <w:spacing w:val="-16"/>
          <w:sz w:val="24"/>
        </w:rPr>
        <w:t xml:space="preserve"> </w:t>
      </w:r>
      <w:r>
        <w:rPr>
          <w:sz w:val="24"/>
        </w:rPr>
        <w:t>be</w:t>
      </w:r>
    </w:p>
    <w:p w:rsidR="00950473" w:rsidRDefault="003603ED">
      <w:pPr>
        <w:pStyle w:val="BodyText"/>
        <w:spacing w:line="480" w:lineRule="auto"/>
        <w:ind w:left="140"/>
      </w:pPr>
      <w:r>
        <w:t>$75.00. The University will waive the late registration fee when imposition of a fee would be unjust due to extenuati</w:t>
      </w:r>
      <w:r>
        <w:t>ng circumstances.</w:t>
      </w:r>
    </w:p>
    <w:p w:rsidR="00950473" w:rsidRDefault="003603ED">
      <w:pPr>
        <w:pStyle w:val="ListParagraph"/>
        <w:numPr>
          <w:ilvl w:val="0"/>
          <w:numId w:val="1"/>
        </w:numPr>
        <w:tabs>
          <w:tab w:val="left" w:pos="1579"/>
          <w:tab w:val="left" w:pos="1580"/>
        </w:tabs>
        <w:spacing w:line="480" w:lineRule="auto"/>
        <w:ind w:right="179" w:firstLine="720"/>
        <w:rPr>
          <w:sz w:val="24"/>
        </w:rPr>
      </w:pPr>
      <w:r>
        <w:rPr>
          <w:sz w:val="24"/>
        </w:rPr>
        <w:t>Late Payment Fee – The University will assess a late payment fee to students who fail to pay or make appropriate arrangements for payment (by means of installment payment, deferment or third-party billing), of tuition deadlines set by the</w:t>
      </w:r>
      <w:r>
        <w:rPr>
          <w:sz w:val="24"/>
        </w:rPr>
        <w:t xml:space="preserve"> University. The fee shall</w:t>
      </w:r>
      <w:r>
        <w:rPr>
          <w:spacing w:val="-19"/>
          <w:sz w:val="24"/>
        </w:rPr>
        <w:t xml:space="preserve"> </w:t>
      </w:r>
      <w:r>
        <w:rPr>
          <w:sz w:val="24"/>
        </w:rPr>
        <w:t>be</w:t>
      </w:r>
    </w:p>
    <w:p w:rsidR="00950473" w:rsidRDefault="003603ED">
      <w:pPr>
        <w:pStyle w:val="BodyText"/>
        <w:ind w:left="140"/>
      </w:pPr>
      <w:r>
        <w:t>$75.00.</w:t>
      </w:r>
    </w:p>
    <w:p w:rsidR="00950473" w:rsidRDefault="00950473">
      <w:pPr>
        <w:pStyle w:val="BodyText"/>
      </w:pPr>
    </w:p>
    <w:p w:rsidR="00950473" w:rsidRDefault="003603ED">
      <w:pPr>
        <w:pStyle w:val="ListParagraph"/>
        <w:numPr>
          <w:ilvl w:val="0"/>
          <w:numId w:val="1"/>
        </w:numPr>
        <w:tabs>
          <w:tab w:val="left" w:pos="1579"/>
          <w:tab w:val="left" w:pos="1580"/>
        </w:tabs>
        <w:spacing w:line="480" w:lineRule="auto"/>
        <w:ind w:right="804" w:firstLine="720"/>
        <w:rPr>
          <w:sz w:val="24"/>
        </w:rPr>
      </w:pPr>
      <w:r>
        <w:rPr>
          <w:sz w:val="24"/>
        </w:rPr>
        <w:t>Service Charge – The University will assess a $10.00 service charge for</w:t>
      </w:r>
      <w:r>
        <w:rPr>
          <w:spacing w:val="-20"/>
          <w:sz w:val="24"/>
        </w:rPr>
        <w:t xml:space="preserve"> </w:t>
      </w:r>
      <w:r>
        <w:rPr>
          <w:sz w:val="24"/>
        </w:rPr>
        <w:t>the payment of tuition</w:t>
      </w:r>
      <w:r>
        <w:rPr>
          <w:spacing w:val="-2"/>
          <w:sz w:val="24"/>
        </w:rPr>
        <w:t xml:space="preserve"> </w:t>
      </w:r>
      <w:r>
        <w:rPr>
          <w:sz w:val="24"/>
        </w:rPr>
        <w:t>installments.</w:t>
      </w:r>
    </w:p>
    <w:p w:rsidR="00950473" w:rsidRDefault="003603ED">
      <w:pPr>
        <w:pStyle w:val="ListParagraph"/>
        <w:numPr>
          <w:ilvl w:val="0"/>
          <w:numId w:val="1"/>
        </w:numPr>
        <w:tabs>
          <w:tab w:val="left" w:pos="1579"/>
          <w:tab w:val="left" w:pos="1580"/>
        </w:tabs>
        <w:ind w:left="1580"/>
        <w:rPr>
          <w:sz w:val="24"/>
        </w:rPr>
      </w:pPr>
      <w:r>
        <w:rPr>
          <w:sz w:val="24"/>
        </w:rPr>
        <w:t>Library Fines - $.25 per book or unit, per day, up to $5.00</w:t>
      </w:r>
      <w:r>
        <w:rPr>
          <w:spacing w:val="-7"/>
          <w:sz w:val="24"/>
        </w:rPr>
        <w:t xml:space="preserve"> </w:t>
      </w:r>
      <w:r>
        <w:rPr>
          <w:sz w:val="24"/>
        </w:rPr>
        <w:t>maximum</w:t>
      </w:r>
    </w:p>
    <w:p w:rsidR="00950473" w:rsidRDefault="00950473">
      <w:pPr>
        <w:pStyle w:val="BodyText"/>
      </w:pPr>
    </w:p>
    <w:p w:rsidR="00950473" w:rsidRDefault="003603ED">
      <w:pPr>
        <w:pStyle w:val="ListParagraph"/>
        <w:numPr>
          <w:ilvl w:val="0"/>
          <w:numId w:val="1"/>
        </w:numPr>
        <w:tabs>
          <w:tab w:val="left" w:pos="1579"/>
          <w:tab w:val="left" w:pos="1580"/>
        </w:tabs>
        <w:ind w:left="1580"/>
        <w:rPr>
          <w:sz w:val="24"/>
        </w:rPr>
      </w:pPr>
      <w:r>
        <w:rPr>
          <w:sz w:val="24"/>
        </w:rPr>
        <w:t>Overdue Reserve Library Books - $1.00 p</w:t>
      </w:r>
      <w:r>
        <w:rPr>
          <w:sz w:val="24"/>
        </w:rPr>
        <w:t>er book or unit item, per hour, up</w:t>
      </w:r>
      <w:r>
        <w:rPr>
          <w:spacing w:val="-7"/>
          <w:sz w:val="24"/>
        </w:rPr>
        <w:t xml:space="preserve"> </w:t>
      </w:r>
      <w:r>
        <w:rPr>
          <w:sz w:val="24"/>
        </w:rPr>
        <w:t>to</w:t>
      </w:r>
    </w:p>
    <w:p w:rsidR="00950473" w:rsidRDefault="00950473">
      <w:pPr>
        <w:pStyle w:val="BodyText"/>
      </w:pPr>
    </w:p>
    <w:p w:rsidR="00950473" w:rsidRDefault="003603ED">
      <w:pPr>
        <w:pStyle w:val="BodyText"/>
        <w:spacing w:before="1"/>
        <w:ind w:left="140"/>
      </w:pPr>
      <w:r>
        <w:t>$5.00 maximum.</w:t>
      </w:r>
    </w:p>
    <w:p w:rsidR="00950473" w:rsidRDefault="00950473">
      <w:pPr>
        <w:pStyle w:val="BodyText"/>
        <w:spacing w:before="11"/>
        <w:rPr>
          <w:sz w:val="23"/>
        </w:rPr>
      </w:pPr>
    </w:p>
    <w:p w:rsidR="00950473" w:rsidRDefault="003603ED">
      <w:pPr>
        <w:pStyle w:val="ListParagraph"/>
        <w:numPr>
          <w:ilvl w:val="0"/>
          <w:numId w:val="1"/>
        </w:numPr>
        <w:tabs>
          <w:tab w:val="left" w:pos="1579"/>
          <w:tab w:val="left" w:pos="1580"/>
        </w:tabs>
        <w:spacing w:line="480" w:lineRule="auto"/>
        <w:ind w:right="385" w:firstLine="720"/>
        <w:rPr>
          <w:sz w:val="24"/>
        </w:rPr>
      </w:pPr>
      <w:r>
        <w:rPr>
          <w:sz w:val="24"/>
        </w:rPr>
        <w:t>Overdue Recalled Library Items - $1.00 per book or unit, per day, in addition to any other fines or penalties, up to $5.00</w:t>
      </w:r>
      <w:r>
        <w:rPr>
          <w:spacing w:val="-7"/>
          <w:sz w:val="24"/>
        </w:rPr>
        <w:t xml:space="preserve"> </w:t>
      </w:r>
      <w:r>
        <w:rPr>
          <w:sz w:val="24"/>
        </w:rPr>
        <w:t>maximum.</w:t>
      </w:r>
    </w:p>
    <w:p w:rsidR="00950473" w:rsidRDefault="003603ED">
      <w:pPr>
        <w:pStyle w:val="ListParagraph"/>
        <w:numPr>
          <w:ilvl w:val="0"/>
          <w:numId w:val="1"/>
        </w:numPr>
        <w:tabs>
          <w:tab w:val="left" w:pos="1579"/>
          <w:tab w:val="left" w:pos="1580"/>
        </w:tabs>
        <w:ind w:left="1580"/>
        <w:rPr>
          <w:sz w:val="24"/>
        </w:rPr>
      </w:pPr>
      <w:r>
        <w:rPr>
          <w:sz w:val="24"/>
        </w:rPr>
        <w:t>Overdue ILL Items - $1.00 per book or unit, per day, up to $5.00</w:t>
      </w:r>
      <w:r>
        <w:rPr>
          <w:spacing w:val="-8"/>
          <w:sz w:val="24"/>
        </w:rPr>
        <w:t xml:space="preserve"> </w:t>
      </w:r>
      <w:r>
        <w:rPr>
          <w:sz w:val="24"/>
        </w:rPr>
        <w:t>maximum.</w:t>
      </w:r>
    </w:p>
    <w:p w:rsidR="00950473" w:rsidRDefault="00950473">
      <w:pPr>
        <w:pStyle w:val="BodyText"/>
        <w:rPr>
          <w:sz w:val="26"/>
        </w:rPr>
      </w:pPr>
    </w:p>
    <w:p w:rsidR="00950473" w:rsidRDefault="00950473">
      <w:pPr>
        <w:pStyle w:val="BodyText"/>
        <w:rPr>
          <w:sz w:val="26"/>
        </w:rPr>
      </w:pPr>
    </w:p>
    <w:p w:rsidR="00950473" w:rsidRDefault="00950473">
      <w:pPr>
        <w:pStyle w:val="BodyText"/>
        <w:spacing w:before="7"/>
        <w:rPr>
          <w:sz w:val="33"/>
        </w:rPr>
      </w:pPr>
    </w:p>
    <w:p w:rsidR="00950473" w:rsidRDefault="00950473" w:rsidP="003603ED">
      <w:pPr>
        <w:pStyle w:val="BodyText"/>
        <w:sectPr w:rsidR="00950473">
          <w:pgSz w:w="12240" w:h="15840"/>
          <w:pgMar w:top="1360" w:right="1300" w:bottom="280" w:left="1300" w:header="720" w:footer="720" w:gutter="0"/>
          <w:cols w:space="720"/>
        </w:sectPr>
      </w:pPr>
    </w:p>
    <w:p w:rsidR="00950473" w:rsidRDefault="003603ED">
      <w:pPr>
        <w:pStyle w:val="ListParagraph"/>
        <w:numPr>
          <w:ilvl w:val="0"/>
          <w:numId w:val="1"/>
        </w:numPr>
        <w:tabs>
          <w:tab w:val="left" w:pos="1579"/>
          <w:tab w:val="left" w:pos="1580"/>
        </w:tabs>
        <w:spacing w:before="72"/>
        <w:ind w:left="1580"/>
        <w:rPr>
          <w:sz w:val="24"/>
        </w:rPr>
      </w:pPr>
      <w:r>
        <w:rPr>
          <w:sz w:val="24"/>
        </w:rPr>
        <w:lastRenderedPageBreak/>
        <w:t>L</w:t>
      </w:r>
      <w:r>
        <w:rPr>
          <w:sz w:val="24"/>
        </w:rPr>
        <w:t>ate Equipment Fee - $.25 per item,</w:t>
      </w:r>
      <w:r>
        <w:rPr>
          <w:sz w:val="24"/>
        </w:rPr>
        <w:t xml:space="preserve"> per</w:t>
      </w:r>
      <w:r>
        <w:rPr>
          <w:spacing w:val="-6"/>
          <w:sz w:val="24"/>
        </w:rPr>
        <w:t xml:space="preserve"> </w:t>
      </w:r>
      <w:r>
        <w:rPr>
          <w:sz w:val="24"/>
        </w:rPr>
        <w:t>day.</w:t>
      </w:r>
    </w:p>
    <w:p w:rsidR="00950473" w:rsidRDefault="00950473">
      <w:pPr>
        <w:pStyle w:val="BodyText"/>
        <w:spacing w:before="11"/>
        <w:rPr>
          <w:sz w:val="23"/>
        </w:rPr>
      </w:pPr>
    </w:p>
    <w:p w:rsidR="00950473" w:rsidRDefault="003603ED">
      <w:pPr>
        <w:pStyle w:val="ListParagraph"/>
        <w:numPr>
          <w:ilvl w:val="0"/>
          <w:numId w:val="1"/>
        </w:numPr>
        <w:tabs>
          <w:tab w:val="left" w:pos="1579"/>
          <w:tab w:val="left" w:pos="1580"/>
        </w:tabs>
        <w:ind w:left="1580"/>
        <w:rPr>
          <w:sz w:val="24"/>
        </w:rPr>
      </w:pPr>
      <w:r>
        <w:rPr>
          <w:sz w:val="24"/>
        </w:rPr>
        <w:t>Security/Access/Identification Card;</w:t>
      </w:r>
      <w:r>
        <w:rPr>
          <w:spacing w:val="-1"/>
          <w:sz w:val="24"/>
        </w:rPr>
        <w:t xml:space="preserve"> </w:t>
      </w:r>
      <w:r>
        <w:rPr>
          <w:sz w:val="24"/>
        </w:rPr>
        <w:t>Duplicate:</w:t>
      </w:r>
    </w:p>
    <w:p w:rsidR="00950473" w:rsidRDefault="00950473">
      <w:pPr>
        <w:pStyle w:val="BodyText"/>
      </w:pPr>
    </w:p>
    <w:p w:rsidR="00950473" w:rsidRDefault="003603ED">
      <w:pPr>
        <w:pStyle w:val="ListParagraph"/>
        <w:numPr>
          <w:ilvl w:val="1"/>
          <w:numId w:val="1"/>
        </w:numPr>
        <w:tabs>
          <w:tab w:val="left" w:pos="1579"/>
          <w:tab w:val="left" w:pos="1580"/>
        </w:tabs>
        <w:rPr>
          <w:sz w:val="24"/>
        </w:rPr>
      </w:pPr>
      <w:r>
        <w:rPr>
          <w:sz w:val="24"/>
        </w:rPr>
        <w:t>Annual $ 7.00;</w:t>
      </w:r>
      <w:r>
        <w:rPr>
          <w:spacing w:val="-4"/>
          <w:sz w:val="24"/>
        </w:rPr>
        <w:t xml:space="preserve"> </w:t>
      </w:r>
      <w:r>
        <w:rPr>
          <w:sz w:val="24"/>
        </w:rPr>
        <w:t>and</w:t>
      </w:r>
    </w:p>
    <w:p w:rsidR="00950473" w:rsidRDefault="00950473">
      <w:pPr>
        <w:pStyle w:val="BodyText"/>
      </w:pPr>
    </w:p>
    <w:p w:rsidR="00950473" w:rsidRDefault="003603ED">
      <w:pPr>
        <w:pStyle w:val="ListParagraph"/>
        <w:numPr>
          <w:ilvl w:val="1"/>
          <w:numId w:val="1"/>
        </w:numPr>
        <w:tabs>
          <w:tab w:val="left" w:pos="1579"/>
          <w:tab w:val="left" w:pos="1580"/>
        </w:tabs>
        <w:rPr>
          <w:sz w:val="24"/>
        </w:rPr>
      </w:pPr>
      <w:r>
        <w:rPr>
          <w:sz w:val="24"/>
        </w:rPr>
        <w:t>Duplicates</w:t>
      </w:r>
      <w:r>
        <w:rPr>
          <w:spacing w:val="-5"/>
          <w:sz w:val="24"/>
        </w:rPr>
        <w:t xml:space="preserve"> </w:t>
      </w:r>
      <w:r>
        <w:rPr>
          <w:sz w:val="24"/>
        </w:rPr>
        <w:t>$15.00.</w:t>
      </w:r>
    </w:p>
    <w:p w:rsidR="00950473" w:rsidRDefault="00950473">
      <w:pPr>
        <w:pStyle w:val="BodyText"/>
      </w:pPr>
    </w:p>
    <w:p w:rsidR="00950473" w:rsidRDefault="003603ED">
      <w:pPr>
        <w:pStyle w:val="ListParagraph"/>
        <w:numPr>
          <w:ilvl w:val="0"/>
          <w:numId w:val="1"/>
        </w:numPr>
        <w:tabs>
          <w:tab w:val="left" w:pos="1579"/>
          <w:tab w:val="left" w:pos="1580"/>
        </w:tabs>
        <w:ind w:left="1580"/>
        <w:rPr>
          <w:sz w:val="24"/>
        </w:rPr>
      </w:pPr>
      <w:r>
        <w:rPr>
          <w:sz w:val="24"/>
        </w:rPr>
        <w:t>Duplicating/Photocopying fee for personal use only –</w:t>
      </w:r>
      <w:r>
        <w:rPr>
          <w:spacing w:val="-9"/>
          <w:sz w:val="24"/>
        </w:rPr>
        <w:t xml:space="preserve"> </w:t>
      </w:r>
      <w:r>
        <w:rPr>
          <w:sz w:val="24"/>
        </w:rPr>
        <w:t>cost.</w:t>
      </w:r>
    </w:p>
    <w:p w:rsidR="00950473" w:rsidRDefault="00950473">
      <w:pPr>
        <w:pStyle w:val="BodyText"/>
      </w:pPr>
    </w:p>
    <w:p w:rsidR="00950473" w:rsidRDefault="003603ED">
      <w:pPr>
        <w:pStyle w:val="ListParagraph"/>
        <w:numPr>
          <w:ilvl w:val="0"/>
          <w:numId w:val="1"/>
        </w:numPr>
        <w:tabs>
          <w:tab w:val="left" w:pos="1579"/>
          <w:tab w:val="left" w:pos="1580"/>
        </w:tabs>
        <w:spacing w:line="480" w:lineRule="auto"/>
        <w:ind w:right="712" w:firstLine="720"/>
        <w:rPr>
          <w:sz w:val="24"/>
        </w:rPr>
      </w:pPr>
      <w:r>
        <w:rPr>
          <w:sz w:val="24"/>
        </w:rPr>
        <w:t>Standardized Tests – The fee for all standardized test (GRE, URE, etc.,) will consist of the costs of administering the</w:t>
      </w:r>
      <w:r>
        <w:rPr>
          <w:spacing w:val="-8"/>
          <w:sz w:val="24"/>
        </w:rPr>
        <w:t xml:space="preserve"> </w:t>
      </w:r>
      <w:r>
        <w:rPr>
          <w:sz w:val="24"/>
        </w:rPr>
        <w:t>tests.</w:t>
      </w:r>
    </w:p>
    <w:p w:rsidR="00950473" w:rsidRDefault="003603ED">
      <w:pPr>
        <w:pStyle w:val="ListParagraph"/>
        <w:numPr>
          <w:ilvl w:val="0"/>
          <w:numId w:val="1"/>
        </w:numPr>
        <w:tabs>
          <w:tab w:val="left" w:pos="1579"/>
          <w:tab w:val="left" w:pos="1580"/>
        </w:tabs>
        <w:ind w:left="1580"/>
        <w:rPr>
          <w:sz w:val="24"/>
        </w:rPr>
      </w:pPr>
      <w:r>
        <w:rPr>
          <w:sz w:val="24"/>
        </w:rPr>
        <w:t>Binding Fee – (Thesis and Dissertation) –</w:t>
      </w:r>
      <w:r>
        <w:rPr>
          <w:spacing w:val="-13"/>
          <w:sz w:val="24"/>
        </w:rPr>
        <w:t xml:space="preserve"> </w:t>
      </w:r>
      <w:r>
        <w:rPr>
          <w:sz w:val="24"/>
        </w:rPr>
        <w:t>cost.</w:t>
      </w:r>
    </w:p>
    <w:p w:rsidR="00950473" w:rsidRDefault="00950473">
      <w:pPr>
        <w:pStyle w:val="BodyText"/>
      </w:pPr>
    </w:p>
    <w:p w:rsidR="00950473" w:rsidRDefault="003603ED">
      <w:pPr>
        <w:pStyle w:val="ListParagraph"/>
        <w:numPr>
          <w:ilvl w:val="0"/>
          <w:numId w:val="1"/>
        </w:numPr>
        <w:tabs>
          <w:tab w:val="left" w:pos="1579"/>
          <w:tab w:val="left" w:pos="1580"/>
        </w:tabs>
        <w:spacing w:before="1"/>
        <w:ind w:left="1580"/>
        <w:rPr>
          <w:sz w:val="24"/>
        </w:rPr>
      </w:pPr>
      <w:r>
        <w:rPr>
          <w:sz w:val="24"/>
        </w:rPr>
        <w:t>Microfilm Fee (Thesis and Dissertation) –</w:t>
      </w:r>
      <w:r>
        <w:rPr>
          <w:spacing w:val="-14"/>
          <w:sz w:val="24"/>
        </w:rPr>
        <w:t xml:space="preserve"> </w:t>
      </w:r>
      <w:r>
        <w:rPr>
          <w:sz w:val="24"/>
        </w:rPr>
        <w:t>cost.</w:t>
      </w:r>
    </w:p>
    <w:p w:rsidR="00950473" w:rsidRDefault="00950473">
      <w:pPr>
        <w:pStyle w:val="BodyText"/>
        <w:spacing w:before="11"/>
        <w:rPr>
          <w:sz w:val="23"/>
        </w:rPr>
      </w:pPr>
    </w:p>
    <w:p w:rsidR="00950473" w:rsidRDefault="003603ED">
      <w:pPr>
        <w:pStyle w:val="ListParagraph"/>
        <w:numPr>
          <w:ilvl w:val="0"/>
          <w:numId w:val="1"/>
        </w:numPr>
        <w:tabs>
          <w:tab w:val="left" w:pos="1579"/>
          <w:tab w:val="left" w:pos="1580"/>
        </w:tabs>
        <w:ind w:left="1580"/>
        <w:rPr>
          <w:sz w:val="24"/>
        </w:rPr>
      </w:pPr>
      <w:r>
        <w:rPr>
          <w:sz w:val="24"/>
        </w:rPr>
        <w:t>Copyright Fee (Dissertation) –</w:t>
      </w:r>
      <w:r>
        <w:rPr>
          <w:spacing w:val="-3"/>
          <w:sz w:val="24"/>
        </w:rPr>
        <w:t xml:space="preserve"> </w:t>
      </w:r>
      <w:r>
        <w:rPr>
          <w:sz w:val="24"/>
        </w:rPr>
        <w:t>cost.</w:t>
      </w:r>
    </w:p>
    <w:p w:rsidR="00950473" w:rsidRDefault="00950473">
      <w:pPr>
        <w:pStyle w:val="BodyText"/>
      </w:pPr>
    </w:p>
    <w:p w:rsidR="00950473" w:rsidRDefault="003603ED">
      <w:pPr>
        <w:pStyle w:val="ListParagraph"/>
        <w:numPr>
          <w:ilvl w:val="0"/>
          <w:numId w:val="1"/>
        </w:numPr>
        <w:tabs>
          <w:tab w:val="left" w:pos="1579"/>
          <w:tab w:val="left" w:pos="1580"/>
        </w:tabs>
        <w:ind w:left="1580"/>
        <w:rPr>
          <w:sz w:val="24"/>
        </w:rPr>
      </w:pPr>
      <w:r>
        <w:rPr>
          <w:sz w:val="24"/>
        </w:rPr>
        <w:t>All breakage and lost library materials –</w:t>
      </w:r>
      <w:r>
        <w:rPr>
          <w:spacing w:val="-7"/>
          <w:sz w:val="24"/>
        </w:rPr>
        <w:t xml:space="preserve"> </w:t>
      </w:r>
      <w:r>
        <w:rPr>
          <w:sz w:val="24"/>
        </w:rPr>
        <w:t>cost.</w:t>
      </w:r>
    </w:p>
    <w:p w:rsidR="00950473" w:rsidRDefault="00950473">
      <w:pPr>
        <w:pStyle w:val="BodyText"/>
      </w:pPr>
    </w:p>
    <w:p w:rsidR="00950473" w:rsidRDefault="003603ED">
      <w:pPr>
        <w:pStyle w:val="ListParagraph"/>
        <w:numPr>
          <w:ilvl w:val="0"/>
          <w:numId w:val="1"/>
        </w:numPr>
        <w:tabs>
          <w:tab w:val="left" w:pos="1579"/>
          <w:tab w:val="left" w:pos="1580"/>
        </w:tabs>
        <w:ind w:left="1580"/>
        <w:rPr>
          <w:sz w:val="24"/>
        </w:rPr>
      </w:pPr>
      <w:r>
        <w:rPr>
          <w:sz w:val="24"/>
        </w:rPr>
        <w:t>Lost Keys/cylinder change –</w:t>
      </w:r>
      <w:r>
        <w:rPr>
          <w:spacing w:val="-1"/>
          <w:sz w:val="24"/>
        </w:rPr>
        <w:t xml:space="preserve"> </w:t>
      </w:r>
      <w:r>
        <w:rPr>
          <w:sz w:val="24"/>
        </w:rPr>
        <w:t>cost.</w:t>
      </w:r>
    </w:p>
    <w:p w:rsidR="00950473" w:rsidRDefault="00950473">
      <w:pPr>
        <w:pStyle w:val="BodyText"/>
      </w:pPr>
    </w:p>
    <w:p w:rsidR="00950473" w:rsidRDefault="003603ED">
      <w:pPr>
        <w:pStyle w:val="ListParagraph"/>
        <w:numPr>
          <w:ilvl w:val="0"/>
          <w:numId w:val="1"/>
        </w:numPr>
        <w:tabs>
          <w:tab w:val="left" w:pos="1579"/>
          <w:tab w:val="left" w:pos="1580"/>
        </w:tabs>
        <w:ind w:left="1580"/>
        <w:rPr>
          <w:sz w:val="24"/>
        </w:rPr>
      </w:pPr>
      <w:r>
        <w:rPr>
          <w:sz w:val="24"/>
        </w:rPr>
        <w:t>Equipment Damage and Loss – cost.</w:t>
      </w:r>
    </w:p>
    <w:p w:rsidR="00950473" w:rsidRDefault="00950473">
      <w:pPr>
        <w:pStyle w:val="BodyText"/>
      </w:pPr>
    </w:p>
    <w:p w:rsidR="00950473" w:rsidRDefault="003603ED">
      <w:pPr>
        <w:pStyle w:val="ListParagraph"/>
        <w:numPr>
          <w:ilvl w:val="0"/>
          <w:numId w:val="1"/>
        </w:numPr>
        <w:tabs>
          <w:tab w:val="left" w:pos="1579"/>
          <w:tab w:val="left" w:pos="1580"/>
        </w:tabs>
        <w:ind w:left="1580"/>
        <w:rPr>
          <w:sz w:val="24"/>
        </w:rPr>
      </w:pPr>
      <w:r>
        <w:rPr>
          <w:sz w:val="24"/>
        </w:rPr>
        <w:t>Interlibrary Loans/Literature Searches –</w:t>
      </w:r>
      <w:r>
        <w:rPr>
          <w:spacing w:val="-5"/>
          <w:sz w:val="24"/>
        </w:rPr>
        <w:t xml:space="preserve"> </w:t>
      </w:r>
      <w:r>
        <w:rPr>
          <w:sz w:val="24"/>
        </w:rPr>
        <w:t>cost.</w:t>
      </w:r>
    </w:p>
    <w:p w:rsidR="00950473" w:rsidRDefault="00950473">
      <w:pPr>
        <w:pStyle w:val="BodyText"/>
      </w:pPr>
    </w:p>
    <w:p w:rsidR="00950473" w:rsidRDefault="003603ED">
      <w:pPr>
        <w:pStyle w:val="ListParagraph"/>
        <w:numPr>
          <w:ilvl w:val="0"/>
          <w:numId w:val="1"/>
        </w:numPr>
        <w:tabs>
          <w:tab w:val="left" w:pos="1579"/>
          <w:tab w:val="left" w:pos="1580"/>
        </w:tabs>
        <w:ind w:left="1580"/>
        <w:rPr>
          <w:sz w:val="24"/>
        </w:rPr>
      </w:pPr>
      <w:r>
        <w:rPr>
          <w:sz w:val="24"/>
        </w:rPr>
        <w:t>Facilities/Equipment Use Charge –</w:t>
      </w:r>
      <w:r>
        <w:rPr>
          <w:spacing w:val="-1"/>
          <w:sz w:val="24"/>
        </w:rPr>
        <w:t xml:space="preserve"> </w:t>
      </w:r>
      <w:r>
        <w:rPr>
          <w:sz w:val="24"/>
        </w:rPr>
        <w:t>cost.</w:t>
      </w:r>
    </w:p>
    <w:p w:rsidR="00950473" w:rsidRDefault="00950473">
      <w:pPr>
        <w:pStyle w:val="BodyText"/>
      </w:pPr>
    </w:p>
    <w:p w:rsidR="00950473" w:rsidRDefault="003603ED">
      <w:pPr>
        <w:pStyle w:val="ListParagraph"/>
        <w:numPr>
          <w:ilvl w:val="0"/>
          <w:numId w:val="1"/>
        </w:numPr>
        <w:tabs>
          <w:tab w:val="left" w:pos="1579"/>
          <w:tab w:val="left" w:pos="1580"/>
        </w:tabs>
        <w:ind w:left="1580"/>
        <w:rPr>
          <w:sz w:val="24"/>
        </w:rPr>
      </w:pPr>
      <w:r>
        <w:rPr>
          <w:sz w:val="24"/>
        </w:rPr>
        <w:t>Orientation Fee -</w:t>
      </w:r>
      <w:r>
        <w:rPr>
          <w:spacing w:val="-3"/>
          <w:sz w:val="24"/>
        </w:rPr>
        <w:t xml:space="preserve"> </w:t>
      </w:r>
      <w:r>
        <w:rPr>
          <w:sz w:val="24"/>
        </w:rPr>
        <w:t>$35.</w:t>
      </w:r>
    </w:p>
    <w:p w:rsidR="00950473" w:rsidRDefault="00950473">
      <w:pPr>
        <w:pStyle w:val="BodyText"/>
      </w:pPr>
    </w:p>
    <w:p w:rsidR="00950473" w:rsidRDefault="003603ED">
      <w:pPr>
        <w:pStyle w:val="ListParagraph"/>
        <w:numPr>
          <w:ilvl w:val="0"/>
          <w:numId w:val="1"/>
        </w:numPr>
        <w:tabs>
          <w:tab w:val="left" w:pos="1579"/>
          <w:tab w:val="left" w:pos="1580"/>
        </w:tabs>
        <w:ind w:left="1580"/>
        <w:rPr>
          <w:sz w:val="24"/>
        </w:rPr>
      </w:pPr>
      <w:r>
        <w:rPr>
          <w:sz w:val="24"/>
        </w:rPr>
        <w:t xml:space="preserve">Transcript Fee – </w:t>
      </w:r>
      <w:r>
        <w:rPr>
          <w:sz w:val="24"/>
        </w:rPr>
        <w:t>Per item</w:t>
      </w:r>
      <w:r>
        <w:rPr>
          <w:spacing w:val="-1"/>
          <w:sz w:val="24"/>
        </w:rPr>
        <w:t xml:space="preserve"> </w:t>
      </w:r>
      <w:r>
        <w:rPr>
          <w:sz w:val="24"/>
        </w:rPr>
        <w:t>$5.00.</w:t>
      </w:r>
    </w:p>
    <w:p w:rsidR="00950473" w:rsidRDefault="00950473">
      <w:pPr>
        <w:pStyle w:val="BodyText"/>
      </w:pPr>
    </w:p>
    <w:p w:rsidR="00950473" w:rsidRDefault="003603ED">
      <w:pPr>
        <w:pStyle w:val="ListParagraph"/>
        <w:numPr>
          <w:ilvl w:val="0"/>
          <w:numId w:val="1"/>
        </w:numPr>
        <w:tabs>
          <w:tab w:val="left" w:pos="1579"/>
          <w:tab w:val="left" w:pos="1580"/>
        </w:tabs>
        <w:ind w:left="1580"/>
        <w:rPr>
          <w:sz w:val="24"/>
        </w:rPr>
      </w:pPr>
      <w:r>
        <w:rPr>
          <w:sz w:val="24"/>
        </w:rPr>
        <w:t>Diploma Replacement Fee – Per item</w:t>
      </w:r>
      <w:r>
        <w:rPr>
          <w:spacing w:val="-2"/>
          <w:sz w:val="24"/>
        </w:rPr>
        <w:t xml:space="preserve"> </w:t>
      </w:r>
      <w:r>
        <w:rPr>
          <w:sz w:val="24"/>
        </w:rPr>
        <w:t>$10.00.</w:t>
      </w:r>
    </w:p>
    <w:p w:rsidR="00950473" w:rsidRDefault="00950473">
      <w:pPr>
        <w:pStyle w:val="BodyText"/>
      </w:pPr>
    </w:p>
    <w:p w:rsidR="00950473" w:rsidRDefault="003603ED">
      <w:pPr>
        <w:pStyle w:val="ListParagraph"/>
        <w:numPr>
          <w:ilvl w:val="0"/>
          <w:numId w:val="1"/>
        </w:numPr>
        <w:tabs>
          <w:tab w:val="left" w:pos="1579"/>
          <w:tab w:val="left" w:pos="1580"/>
        </w:tabs>
        <w:spacing w:line="480" w:lineRule="auto"/>
        <w:ind w:right="326" w:firstLine="720"/>
        <w:rPr>
          <w:sz w:val="24"/>
        </w:rPr>
      </w:pPr>
      <w:r>
        <w:rPr>
          <w:sz w:val="24"/>
        </w:rPr>
        <w:t>Off-Campus Educational Activities – The University will assess fees for off- campus course offerings when the location results in specific, identifiable increased costs to the university. These fees will be in addition to the regular student credit hour fe</w:t>
      </w:r>
      <w:r>
        <w:rPr>
          <w:sz w:val="24"/>
        </w:rPr>
        <w:t>es charged to students enrolling in these courses on-campus. The additional fees charged are for the purpose of recovering the increased costs resulting from off-campus</w:t>
      </w:r>
      <w:r>
        <w:rPr>
          <w:spacing w:val="-8"/>
          <w:sz w:val="24"/>
        </w:rPr>
        <w:t xml:space="preserve"> </w:t>
      </w:r>
      <w:r>
        <w:rPr>
          <w:sz w:val="24"/>
        </w:rPr>
        <w:t>offerings.</w:t>
      </w:r>
    </w:p>
    <w:p w:rsidR="00950473" w:rsidRDefault="00950473">
      <w:pPr>
        <w:pStyle w:val="BodyText"/>
        <w:rPr>
          <w:sz w:val="26"/>
        </w:rPr>
      </w:pPr>
    </w:p>
    <w:p w:rsidR="00950473" w:rsidRDefault="00950473">
      <w:pPr>
        <w:pStyle w:val="BodyText"/>
        <w:spacing w:before="7"/>
        <w:rPr>
          <w:sz w:val="35"/>
        </w:rPr>
      </w:pPr>
    </w:p>
    <w:p w:rsidR="00950473" w:rsidRDefault="00950473" w:rsidP="003603ED">
      <w:pPr>
        <w:pStyle w:val="BodyText"/>
        <w:sectPr w:rsidR="00950473">
          <w:pgSz w:w="12240" w:h="15840"/>
          <w:pgMar w:top="1360" w:right="1300" w:bottom="280" w:left="1300" w:header="720" w:footer="720" w:gutter="0"/>
          <w:cols w:space="720"/>
        </w:sectPr>
      </w:pPr>
    </w:p>
    <w:p w:rsidR="00950473" w:rsidRDefault="003603ED">
      <w:pPr>
        <w:pStyle w:val="ListParagraph"/>
        <w:numPr>
          <w:ilvl w:val="0"/>
          <w:numId w:val="1"/>
        </w:numPr>
        <w:tabs>
          <w:tab w:val="left" w:pos="1579"/>
          <w:tab w:val="left" w:pos="1580"/>
        </w:tabs>
        <w:spacing w:before="72" w:line="480" w:lineRule="auto"/>
        <w:ind w:right="195" w:firstLine="720"/>
        <w:rPr>
          <w:sz w:val="24"/>
        </w:rPr>
      </w:pPr>
      <w:r>
        <w:rPr>
          <w:sz w:val="24"/>
        </w:rPr>
        <w:lastRenderedPageBreak/>
        <w:t>M</w:t>
      </w:r>
      <w:r>
        <w:rPr>
          <w:sz w:val="24"/>
        </w:rPr>
        <w:t>aterial and Supply Fees – The University will assess material and supply fees not to exceed the amount necessary to offset the cost of materials or supply items which are consumed in the course of the student’s instructional activities, excluding the cost</w:t>
      </w:r>
      <w:r>
        <w:rPr>
          <w:sz w:val="24"/>
        </w:rPr>
        <w:t xml:space="preserve"> of</w:t>
      </w:r>
      <w:r>
        <w:rPr>
          <w:spacing w:val="-22"/>
          <w:sz w:val="24"/>
        </w:rPr>
        <w:t xml:space="preserve"> </w:t>
      </w:r>
      <w:r>
        <w:rPr>
          <w:sz w:val="24"/>
        </w:rPr>
        <w:t>equipment, equipment repairs and maintenance. The University shall assess an Experiential Learning Fee</w:t>
      </w:r>
      <w:r>
        <w:rPr>
          <w:spacing w:val="-21"/>
          <w:sz w:val="24"/>
        </w:rPr>
        <w:t xml:space="preserve"> </w:t>
      </w:r>
      <w:r>
        <w:rPr>
          <w:sz w:val="24"/>
        </w:rPr>
        <w:t>of</w:t>
      </w:r>
    </w:p>
    <w:p w:rsidR="00950473" w:rsidRDefault="003603ED">
      <w:pPr>
        <w:pStyle w:val="BodyText"/>
        <w:spacing w:line="480" w:lineRule="auto"/>
        <w:ind w:left="140"/>
      </w:pPr>
      <w:r>
        <w:t>$ 200.00 per academic year for participation in the UNF Honors Program to cover the increased costs of special programs and activities included in</w:t>
      </w:r>
      <w:r>
        <w:t xml:space="preserve"> the Honors Program curriculum.</w:t>
      </w:r>
    </w:p>
    <w:p w:rsidR="00950473" w:rsidRDefault="003603ED">
      <w:pPr>
        <w:pStyle w:val="ListParagraph"/>
        <w:numPr>
          <w:ilvl w:val="0"/>
          <w:numId w:val="1"/>
        </w:numPr>
        <w:tabs>
          <w:tab w:val="left" w:pos="1579"/>
          <w:tab w:val="left" w:pos="1580"/>
        </w:tabs>
        <w:spacing w:line="480" w:lineRule="auto"/>
        <w:ind w:right="184" w:firstLine="720"/>
        <w:rPr>
          <w:sz w:val="24"/>
        </w:rPr>
      </w:pPr>
      <w:r>
        <w:rPr>
          <w:sz w:val="24"/>
        </w:rPr>
        <w:t>Miscellaneous Health Fees – The University will assess fees for miscellaneous health-related services provided at cost by the UNF Student Health Center which are not</w:t>
      </w:r>
      <w:r>
        <w:rPr>
          <w:spacing w:val="-25"/>
          <w:sz w:val="24"/>
        </w:rPr>
        <w:t xml:space="preserve"> </w:t>
      </w:r>
      <w:r>
        <w:rPr>
          <w:sz w:val="24"/>
        </w:rPr>
        <w:t>covered by the health fee set under Regulation</w:t>
      </w:r>
      <w:r>
        <w:rPr>
          <w:spacing w:val="-9"/>
          <w:sz w:val="24"/>
        </w:rPr>
        <w:t xml:space="preserve"> </w:t>
      </w:r>
      <w:r>
        <w:rPr>
          <w:sz w:val="24"/>
        </w:rPr>
        <w:t>6C9-8.1001.</w:t>
      </w:r>
    </w:p>
    <w:p w:rsidR="00950473" w:rsidRDefault="003603ED">
      <w:pPr>
        <w:pStyle w:val="ListParagraph"/>
        <w:numPr>
          <w:ilvl w:val="0"/>
          <w:numId w:val="1"/>
        </w:numPr>
        <w:tabs>
          <w:tab w:val="left" w:pos="1579"/>
          <w:tab w:val="left" w:pos="1580"/>
        </w:tabs>
        <w:spacing w:line="480" w:lineRule="auto"/>
        <w:ind w:right="358" w:firstLine="720"/>
        <w:rPr>
          <w:sz w:val="24"/>
        </w:rPr>
      </w:pPr>
      <w:r>
        <w:rPr>
          <w:sz w:val="24"/>
        </w:rPr>
        <w:t>Credit Card Convenience Fee – The University will charge a convenience fee</w:t>
      </w:r>
      <w:r>
        <w:rPr>
          <w:spacing w:val="-21"/>
          <w:sz w:val="24"/>
        </w:rPr>
        <w:t xml:space="preserve"> </w:t>
      </w:r>
      <w:r>
        <w:rPr>
          <w:sz w:val="24"/>
        </w:rPr>
        <w:t>of 1.5%of the transaction amount for the use of credit cards for web-originated financial transactions.</w:t>
      </w:r>
    </w:p>
    <w:p w:rsidR="00950473" w:rsidRDefault="003603ED">
      <w:pPr>
        <w:pStyle w:val="ListParagraph"/>
        <w:numPr>
          <w:ilvl w:val="0"/>
          <w:numId w:val="1"/>
        </w:numPr>
        <w:tabs>
          <w:tab w:val="left" w:pos="1579"/>
          <w:tab w:val="left" w:pos="1580"/>
        </w:tabs>
        <w:spacing w:line="480" w:lineRule="auto"/>
        <w:ind w:right="281" w:firstLine="720"/>
        <w:rPr>
          <w:sz w:val="24"/>
        </w:rPr>
      </w:pPr>
      <w:r>
        <w:rPr>
          <w:sz w:val="24"/>
        </w:rPr>
        <w:t>Housing Rental Rates and Supplemental Charges – Basic rates for housing</w:t>
      </w:r>
      <w:r>
        <w:rPr>
          <w:spacing w:val="-18"/>
          <w:sz w:val="24"/>
        </w:rPr>
        <w:t xml:space="preserve"> </w:t>
      </w:r>
      <w:r>
        <w:rPr>
          <w:sz w:val="24"/>
        </w:rPr>
        <w:t>rental and supplemental charges are set by the University of North Florida Board of Trustees. Current housing rental rates and supplementary housing charges are available for viewing a</w:t>
      </w:r>
      <w:r>
        <w:rPr>
          <w:sz w:val="24"/>
        </w:rPr>
        <w:t>t Housing’s website,</w:t>
      </w:r>
      <w:r>
        <w:rPr>
          <w:color w:val="0000FF"/>
          <w:sz w:val="24"/>
        </w:rPr>
        <w:t xml:space="preserve"> </w:t>
      </w:r>
      <w:hyperlink r:id="rId9">
        <w:r>
          <w:rPr>
            <w:color w:val="0000FF"/>
            <w:sz w:val="24"/>
            <w:u w:val="single" w:color="0000FF"/>
          </w:rPr>
          <w:t>http://www.unfhousing.com/room_rates.asp</w:t>
        </w:r>
        <w:r>
          <w:rPr>
            <w:color w:val="0000FF"/>
            <w:sz w:val="24"/>
          </w:rPr>
          <w:t xml:space="preserve"> </w:t>
        </w:r>
      </w:hyperlink>
      <w:r>
        <w:rPr>
          <w:sz w:val="24"/>
        </w:rPr>
        <w:t>or on the Housing Room Rates</w:t>
      </w:r>
      <w:r>
        <w:rPr>
          <w:spacing w:val="-13"/>
          <w:sz w:val="24"/>
        </w:rPr>
        <w:t xml:space="preserve"> </w:t>
      </w:r>
      <w:r>
        <w:rPr>
          <w:sz w:val="24"/>
        </w:rPr>
        <w:t>Sheets</w:t>
      </w:r>
    </w:p>
    <w:p w:rsidR="00950473" w:rsidRDefault="003603ED">
      <w:pPr>
        <w:pStyle w:val="BodyText"/>
        <w:ind w:left="140"/>
      </w:pPr>
      <w:r>
        <w:t>distributed by Housing Operations.</w:t>
      </w:r>
    </w:p>
    <w:p w:rsidR="00950473" w:rsidRDefault="00950473">
      <w:pPr>
        <w:pStyle w:val="BodyText"/>
      </w:pPr>
    </w:p>
    <w:p w:rsidR="00950473" w:rsidRDefault="003603ED">
      <w:pPr>
        <w:pStyle w:val="ListParagraph"/>
        <w:numPr>
          <w:ilvl w:val="0"/>
          <w:numId w:val="1"/>
        </w:numPr>
        <w:tabs>
          <w:tab w:val="left" w:pos="1579"/>
          <w:tab w:val="left" w:pos="1580"/>
        </w:tabs>
        <w:spacing w:line="480" w:lineRule="auto"/>
        <w:ind w:right="390" w:firstLine="720"/>
        <w:rPr>
          <w:sz w:val="24"/>
        </w:rPr>
      </w:pPr>
      <w:r>
        <w:rPr>
          <w:sz w:val="24"/>
        </w:rPr>
        <w:t>Returned Check Fee – The University will assess a service char</w:t>
      </w:r>
      <w:r>
        <w:rPr>
          <w:sz w:val="24"/>
        </w:rPr>
        <w:t>ge as authorized by Section 832.07(1), F.S., for unpaid checks returned to the</w:t>
      </w:r>
      <w:r>
        <w:rPr>
          <w:spacing w:val="-9"/>
          <w:sz w:val="24"/>
        </w:rPr>
        <w:t xml:space="preserve"> </w:t>
      </w:r>
      <w:r>
        <w:rPr>
          <w:sz w:val="24"/>
        </w:rPr>
        <w:t>university.</w:t>
      </w:r>
    </w:p>
    <w:p w:rsidR="00950473" w:rsidRDefault="003603ED">
      <w:pPr>
        <w:pStyle w:val="ListParagraph"/>
        <w:numPr>
          <w:ilvl w:val="0"/>
          <w:numId w:val="1"/>
        </w:numPr>
        <w:tabs>
          <w:tab w:val="left" w:pos="1579"/>
          <w:tab w:val="left" w:pos="1580"/>
        </w:tabs>
        <w:spacing w:before="1" w:line="480" w:lineRule="auto"/>
        <w:ind w:right="383" w:firstLine="720"/>
        <w:rPr>
          <w:sz w:val="24"/>
        </w:rPr>
      </w:pPr>
      <w:r>
        <w:rPr>
          <w:sz w:val="24"/>
        </w:rPr>
        <w:t>Collection Costs – The University will assess a charge representing reasonable cost of collection efforts to effect payment for overdue accounts. Collection costs wi</w:t>
      </w:r>
      <w:r>
        <w:rPr>
          <w:sz w:val="24"/>
        </w:rPr>
        <w:t>ll be assessed to the student for collection of debts owed the University not secured by a promissory note or</w:t>
      </w:r>
      <w:r>
        <w:rPr>
          <w:spacing w:val="-3"/>
          <w:sz w:val="24"/>
        </w:rPr>
        <w:t xml:space="preserve"> </w:t>
      </w:r>
      <w:r>
        <w:rPr>
          <w:sz w:val="24"/>
        </w:rPr>
        <w:t>contract.</w:t>
      </w:r>
    </w:p>
    <w:p w:rsidR="00950473" w:rsidRDefault="00950473">
      <w:pPr>
        <w:pStyle w:val="BodyText"/>
        <w:rPr>
          <w:sz w:val="26"/>
        </w:rPr>
      </w:pPr>
    </w:p>
    <w:p w:rsidR="00950473" w:rsidRDefault="00950473" w:rsidP="003603ED">
      <w:pPr>
        <w:pStyle w:val="BodyText"/>
        <w:sectPr w:rsidR="00950473">
          <w:pgSz w:w="12240" w:h="15840"/>
          <w:pgMar w:top="1360" w:right="1300" w:bottom="280" w:left="1300" w:header="720" w:footer="720" w:gutter="0"/>
          <w:cols w:space="720"/>
        </w:sectPr>
      </w:pPr>
    </w:p>
    <w:p w:rsidR="00950473" w:rsidRDefault="003603ED">
      <w:pPr>
        <w:pStyle w:val="ListParagraph"/>
        <w:numPr>
          <w:ilvl w:val="0"/>
          <w:numId w:val="1"/>
        </w:numPr>
        <w:tabs>
          <w:tab w:val="left" w:pos="1579"/>
          <w:tab w:val="left" w:pos="1580"/>
        </w:tabs>
        <w:spacing w:before="72" w:line="480" w:lineRule="auto"/>
        <w:ind w:right="639" w:firstLine="720"/>
        <w:rPr>
          <w:sz w:val="24"/>
        </w:rPr>
      </w:pPr>
      <w:r>
        <w:rPr>
          <w:sz w:val="24"/>
        </w:rPr>
        <w:lastRenderedPageBreak/>
        <w:t>L</w:t>
      </w:r>
      <w:r>
        <w:rPr>
          <w:sz w:val="24"/>
        </w:rPr>
        <w:t>oan Service Charge – The University will assess a $20.00 service charge on University loans in lieu of interest and admin</w:t>
      </w:r>
      <w:r>
        <w:rPr>
          <w:sz w:val="24"/>
        </w:rPr>
        <w:t>istrative</w:t>
      </w:r>
      <w:r>
        <w:rPr>
          <w:spacing w:val="-9"/>
          <w:sz w:val="24"/>
        </w:rPr>
        <w:t xml:space="preserve"> </w:t>
      </w:r>
      <w:r>
        <w:rPr>
          <w:sz w:val="24"/>
        </w:rPr>
        <w:t>handling.</w:t>
      </w:r>
    </w:p>
    <w:p w:rsidR="00950473" w:rsidRDefault="003603ED">
      <w:pPr>
        <w:pStyle w:val="ListParagraph"/>
        <w:numPr>
          <w:ilvl w:val="0"/>
          <w:numId w:val="1"/>
        </w:numPr>
        <w:tabs>
          <w:tab w:val="left" w:pos="1579"/>
          <w:tab w:val="left" w:pos="1580"/>
        </w:tabs>
        <w:spacing w:line="480" w:lineRule="auto"/>
        <w:ind w:right="205" w:firstLine="720"/>
        <w:rPr>
          <w:sz w:val="24"/>
        </w:rPr>
      </w:pPr>
      <w:r>
        <w:rPr>
          <w:sz w:val="24"/>
        </w:rPr>
        <w:t xml:space="preserve">Education Research Center for Child Development Fee – Pursuant to Section 1011.48, F.S., the University of North Florida Child Development Research Center will charge fees for the care and services it provides. Such fees may be imposed </w:t>
      </w:r>
      <w:r>
        <w:rPr>
          <w:sz w:val="24"/>
        </w:rPr>
        <w:t>on a sliding scale on ability to pay or any other factors deemed relevant. A current fee schedule is available at the Center’s website,</w:t>
      </w:r>
      <w:r>
        <w:rPr>
          <w:color w:val="0000FF"/>
          <w:spacing w:val="-1"/>
          <w:sz w:val="24"/>
        </w:rPr>
        <w:t xml:space="preserve"> </w:t>
      </w:r>
      <w:hyperlink r:id="rId10">
        <w:r>
          <w:rPr>
            <w:color w:val="0000FF"/>
            <w:sz w:val="24"/>
            <w:u w:val="single" w:color="0000FF"/>
          </w:rPr>
          <w:t>http://www.unf.edu/dept/cdrc/</w:t>
        </w:r>
        <w:r>
          <w:rPr>
            <w:sz w:val="24"/>
          </w:rPr>
          <w:t>.</w:t>
        </w:r>
      </w:hyperlink>
    </w:p>
    <w:p w:rsidR="00950473" w:rsidRDefault="00950473">
      <w:pPr>
        <w:pStyle w:val="BodyText"/>
        <w:rPr>
          <w:sz w:val="20"/>
        </w:rPr>
      </w:pPr>
    </w:p>
    <w:p w:rsidR="00950473" w:rsidRDefault="00950473">
      <w:pPr>
        <w:pStyle w:val="BodyText"/>
        <w:spacing w:before="2"/>
        <w:rPr>
          <w:sz w:val="20"/>
        </w:rPr>
      </w:pPr>
    </w:p>
    <w:p w:rsidR="00950473" w:rsidRDefault="003603ED">
      <w:pPr>
        <w:spacing w:before="90"/>
        <w:ind w:left="140" w:right="234"/>
        <w:rPr>
          <w:i/>
          <w:sz w:val="24"/>
        </w:rPr>
      </w:pPr>
      <w:r>
        <w:rPr>
          <w:i/>
          <w:sz w:val="24"/>
        </w:rPr>
        <w:t>Authority: Resolution of the Florida Board of Governors dated January 7, 2003, F.S. 1001.74 (11), FS. 1001.74(24), F.S. 1009.24, F.S. 1009.25, F.S. 1009.26, F.S. 1009.27, F.S. 1011.48(3).</w:t>
      </w:r>
    </w:p>
    <w:p w:rsidR="00950473" w:rsidRDefault="003603ED">
      <w:pPr>
        <w:tabs>
          <w:tab w:val="left" w:pos="8064"/>
        </w:tabs>
        <w:ind w:left="200"/>
        <w:rPr>
          <w:i/>
          <w:sz w:val="24"/>
        </w:rPr>
      </w:pPr>
      <w:r>
        <w:rPr>
          <w:i/>
          <w:sz w:val="24"/>
        </w:rPr>
        <w:t>History – New 5-2-04, Amended 3-20-05, Amended 10-20-</w:t>
      </w:r>
      <w:proofErr w:type="gramStart"/>
      <w:r>
        <w:rPr>
          <w:i/>
          <w:sz w:val="24"/>
        </w:rPr>
        <w:t>05 ;</w:t>
      </w:r>
      <w:proofErr w:type="gramEnd"/>
      <w:r>
        <w:rPr>
          <w:i/>
          <w:spacing w:val="-9"/>
          <w:sz w:val="24"/>
        </w:rPr>
        <w:t xml:space="preserve"> </w:t>
      </w:r>
      <w:r>
        <w:rPr>
          <w:i/>
          <w:sz w:val="24"/>
        </w:rPr>
        <w:t>Amended _</w:t>
      </w:r>
      <w:r>
        <w:rPr>
          <w:i/>
          <w:sz w:val="24"/>
          <w:u w:val="single"/>
        </w:rPr>
        <w:t xml:space="preserve"> </w:t>
      </w:r>
      <w:r>
        <w:rPr>
          <w:i/>
          <w:sz w:val="24"/>
          <w:u w:val="single"/>
        </w:rPr>
        <w:tab/>
      </w:r>
      <w:r>
        <w:rPr>
          <w:i/>
          <w:sz w:val="24"/>
        </w:rPr>
        <w:t>.</w:t>
      </w:r>
    </w:p>
    <w:p w:rsidR="00950473" w:rsidRDefault="00950473">
      <w:pPr>
        <w:pStyle w:val="BodyText"/>
        <w:rPr>
          <w:i/>
          <w:sz w:val="26"/>
        </w:rPr>
      </w:pPr>
    </w:p>
    <w:p w:rsidR="00950473" w:rsidRDefault="00950473">
      <w:pPr>
        <w:pStyle w:val="BodyText"/>
        <w:rPr>
          <w:i/>
          <w:sz w:val="26"/>
        </w:rPr>
      </w:pPr>
    </w:p>
    <w:p w:rsidR="00950473" w:rsidRDefault="00950473">
      <w:pPr>
        <w:pStyle w:val="BodyText"/>
        <w:rPr>
          <w:i/>
          <w:sz w:val="26"/>
        </w:rPr>
      </w:pPr>
    </w:p>
    <w:p w:rsidR="00950473" w:rsidRDefault="00950473">
      <w:pPr>
        <w:pStyle w:val="BodyText"/>
        <w:rPr>
          <w:i/>
          <w:sz w:val="26"/>
        </w:rPr>
      </w:pPr>
    </w:p>
    <w:p w:rsidR="00950473" w:rsidRDefault="00950473">
      <w:pPr>
        <w:pStyle w:val="BodyText"/>
        <w:rPr>
          <w:i/>
          <w:sz w:val="26"/>
        </w:rPr>
      </w:pPr>
    </w:p>
    <w:p w:rsidR="00950473" w:rsidRDefault="00950473">
      <w:pPr>
        <w:pStyle w:val="BodyText"/>
        <w:rPr>
          <w:i/>
          <w:sz w:val="26"/>
        </w:rPr>
      </w:pPr>
    </w:p>
    <w:p w:rsidR="00950473" w:rsidRDefault="00950473">
      <w:pPr>
        <w:pStyle w:val="BodyText"/>
        <w:rPr>
          <w:i/>
          <w:sz w:val="26"/>
        </w:rPr>
      </w:pPr>
    </w:p>
    <w:p w:rsidR="00950473" w:rsidRDefault="00950473">
      <w:pPr>
        <w:pStyle w:val="BodyText"/>
        <w:rPr>
          <w:i/>
          <w:sz w:val="26"/>
        </w:rPr>
      </w:pPr>
    </w:p>
    <w:p w:rsidR="00950473" w:rsidRDefault="00950473">
      <w:pPr>
        <w:pStyle w:val="BodyText"/>
        <w:rPr>
          <w:i/>
          <w:sz w:val="26"/>
        </w:rPr>
      </w:pPr>
    </w:p>
    <w:p w:rsidR="00950473" w:rsidRDefault="00950473">
      <w:pPr>
        <w:pStyle w:val="BodyText"/>
        <w:rPr>
          <w:i/>
          <w:sz w:val="26"/>
        </w:rPr>
      </w:pPr>
    </w:p>
    <w:p w:rsidR="00950473" w:rsidRDefault="00950473">
      <w:pPr>
        <w:pStyle w:val="BodyText"/>
        <w:rPr>
          <w:i/>
          <w:sz w:val="26"/>
        </w:rPr>
      </w:pPr>
    </w:p>
    <w:p w:rsidR="00950473" w:rsidRDefault="00950473">
      <w:pPr>
        <w:pStyle w:val="BodyText"/>
        <w:rPr>
          <w:i/>
          <w:sz w:val="26"/>
        </w:rPr>
      </w:pPr>
    </w:p>
    <w:p w:rsidR="00950473" w:rsidRDefault="00950473">
      <w:pPr>
        <w:pStyle w:val="BodyText"/>
        <w:rPr>
          <w:i/>
          <w:sz w:val="26"/>
        </w:rPr>
      </w:pPr>
    </w:p>
    <w:p w:rsidR="00950473" w:rsidRDefault="00950473">
      <w:pPr>
        <w:pStyle w:val="BodyText"/>
        <w:rPr>
          <w:i/>
          <w:sz w:val="26"/>
        </w:rPr>
      </w:pPr>
    </w:p>
    <w:p w:rsidR="00950473" w:rsidRDefault="00950473">
      <w:pPr>
        <w:pStyle w:val="BodyText"/>
        <w:rPr>
          <w:i/>
          <w:sz w:val="26"/>
        </w:rPr>
      </w:pPr>
    </w:p>
    <w:p w:rsidR="00950473" w:rsidRDefault="00950473">
      <w:pPr>
        <w:pStyle w:val="BodyText"/>
        <w:rPr>
          <w:i/>
          <w:sz w:val="26"/>
        </w:rPr>
      </w:pPr>
    </w:p>
    <w:p w:rsidR="00950473" w:rsidRDefault="00950473">
      <w:pPr>
        <w:pStyle w:val="BodyText"/>
        <w:rPr>
          <w:i/>
          <w:sz w:val="26"/>
        </w:rPr>
      </w:pPr>
    </w:p>
    <w:p w:rsidR="00950473" w:rsidRDefault="00950473">
      <w:pPr>
        <w:pStyle w:val="BodyText"/>
        <w:rPr>
          <w:i/>
          <w:sz w:val="26"/>
        </w:rPr>
      </w:pPr>
    </w:p>
    <w:p w:rsidR="00950473" w:rsidRDefault="00950473">
      <w:pPr>
        <w:pStyle w:val="BodyText"/>
        <w:rPr>
          <w:i/>
          <w:sz w:val="26"/>
        </w:rPr>
      </w:pPr>
    </w:p>
    <w:p w:rsidR="00950473" w:rsidRDefault="00950473">
      <w:pPr>
        <w:pStyle w:val="BodyText"/>
        <w:rPr>
          <w:i/>
          <w:sz w:val="26"/>
        </w:rPr>
      </w:pPr>
    </w:p>
    <w:p w:rsidR="00950473" w:rsidRDefault="00950473">
      <w:pPr>
        <w:pStyle w:val="BodyText"/>
        <w:rPr>
          <w:i/>
          <w:sz w:val="26"/>
        </w:rPr>
      </w:pPr>
    </w:p>
    <w:p w:rsidR="00950473" w:rsidRDefault="00950473">
      <w:pPr>
        <w:pStyle w:val="BodyText"/>
        <w:rPr>
          <w:i/>
          <w:sz w:val="26"/>
        </w:rPr>
      </w:pPr>
    </w:p>
    <w:p w:rsidR="00950473" w:rsidRDefault="00950473">
      <w:pPr>
        <w:pStyle w:val="BodyText"/>
        <w:rPr>
          <w:i/>
          <w:sz w:val="26"/>
        </w:rPr>
      </w:pPr>
    </w:p>
    <w:p w:rsidR="00950473" w:rsidRDefault="00950473" w:rsidP="003603ED">
      <w:pPr>
        <w:pStyle w:val="BodyText"/>
      </w:pPr>
    </w:p>
    <w:sectPr w:rsidR="00950473">
      <w:pgSz w:w="12240" w:h="15840"/>
      <w:pgMar w:top="136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3ED" w:rsidRDefault="003603ED" w:rsidP="003603ED">
      <w:r>
        <w:separator/>
      </w:r>
    </w:p>
  </w:endnote>
  <w:endnote w:type="continuationSeparator" w:id="0">
    <w:p w:rsidR="003603ED" w:rsidRDefault="003603ED" w:rsidP="0036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3ED" w:rsidRDefault="003603ED" w:rsidP="003603ED">
      <w:r>
        <w:separator/>
      </w:r>
    </w:p>
  </w:footnote>
  <w:footnote w:type="continuationSeparator" w:id="0">
    <w:p w:rsidR="003603ED" w:rsidRDefault="003603ED" w:rsidP="00360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90363"/>
    <w:multiLevelType w:val="hybridMultilevel"/>
    <w:tmpl w:val="5644CF9C"/>
    <w:lvl w:ilvl="0" w:tplc="2F927E1A">
      <w:start w:val="1"/>
      <w:numFmt w:val="decimal"/>
      <w:lvlText w:val="(%1)"/>
      <w:lvlJc w:val="left"/>
      <w:pPr>
        <w:ind w:left="500" w:hanging="339"/>
        <w:jc w:val="left"/>
      </w:pPr>
      <w:rPr>
        <w:rFonts w:ascii="Times New Roman" w:eastAsia="Times New Roman" w:hAnsi="Times New Roman" w:cs="Times New Roman" w:hint="default"/>
        <w:spacing w:val="-1"/>
        <w:w w:val="99"/>
        <w:sz w:val="24"/>
        <w:szCs w:val="24"/>
      </w:rPr>
    </w:lvl>
    <w:lvl w:ilvl="1" w:tplc="383E09CA">
      <w:start w:val="1"/>
      <w:numFmt w:val="lowerLetter"/>
      <w:lvlText w:val="(%2)"/>
      <w:lvlJc w:val="left"/>
      <w:pPr>
        <w:ind w:left="500" w:hanging="384"/>
        <w:jc w:val="left"/>
      </w:pPr>
      <w:rPr>
        <w:rFonts w:ascii="Times New Roman" w:eastAsia="Times New Roman" w:hAnsi="Times New Roman" w:cs="Times New Roman" w:hint="default"/>
        <w:spacing w:val="-3"/>
        <w:w w:val="99"/>
        <w:sz w:val="24"/>
        <w:szCs w:val="24"/>
      </w:rPr>
    </w:lvl>
    <w:lvl w:ilvl="2" w:tplc="0E1C8BEE">
      <w:numFmt w:val="bullet"/>
      <w:lvlText w:val="•"/>
      <w:lvlJc w:val="left"/>
      <w:pPr>
        <w:ind w:left="2328" w:hanging="384"/>
      </w:pPr>
      <w:rPr>
        <w:rFonts w:hint="default"/>
      </w:rPr>
    </w:lvl>
    <w:lvl w:ilvl="3" w:tplc="CE1ECB22">
      <w:numFmt w:val="bullet"/>
      <w:lvlText w:val="•"/>
      <w:lvlJc w:val="left"/>
      <w:pPr>
        <w:ind w:left="3242" w:hanging="384"/>
      </w:pPr>
      <w:rPr>
        <w:rFonts w:hint="default"/>
      </w:rPr>
    </w:lvl>
    <w:lvl w:ilvl="4" w:tplc="590C8E72">
      <w:numFmt w:val="bullet"/>
      <w:lvlText w:val="•"/>
      <w:lvlJc w:val="left"/>
      <w:pPr>
        <w:ind w:left="4156" w:hanging="384"/>
      </w:pPr>
      <w:rPr>
        <w:rFonts w:hint="default"/>
      </w:rPr>
    </w:lvl>
    <w:lvl w:ilvl="5" w:tplc="1C9AC11E">
      <w:numFmt w:val="bullet"/>
      <w:lvlText w:val="•"/>
      <w:lvlJc w:val="left"/>
      <w:pPr>
        <w:ind w:left="5070" w:hanging="384"/>
      </w:pPr>
      <w:rPr>
        <w:rFonts w:hint="default"/>
      </w:rPr>
    </w:lvl>
    <w:lvl w:ilvl="6" w:tplc="261EB372">
      <w:numFmt w:val="bullet"/>
      <w:lvlText w:val="•"/>
      <w:lvlJc w:val="left"/>
      <w:pPr>
        <w:ind w:left="5984" w:hanging="384"/>
      </w:pPr>
      <w:rPr>
        <w:rFonts w:hint="default"/>
      </w:rPr>
    </w:lvl>
    <w:lvl w:ilvl="7" w:tplc="BA92FF72">
      <w:numFmt w:val="bullet"/>
      <w:lvlText w:val="•"/>
      <w:lvlJc w:val="left"/>
      <w:pPr>
        <w:ind w:left="6898" w:hanging="384"/>
      </w:pPr>
      <w:rPr>
        <w:rFonts w:hint="default"/>
      </w:rPr>
    </w:lvl>
    <w:lvl w:ilvl="8" w:tplc="62B883D2">
      <w:numFmt w:val="bullet"/>
      <w:lvlText w:val="•"/>
      <w:lvlJc w:val="left"/>
      <w:pPr>
        <w:ind w:left="7812" w:hanging="384"/>
      </w:pPr>
      <w:rPr>
        <w:rFonts w:hint="default"/>
      </w:rPr>
    </w:lvl>
  </w:abstractNum>
  <w:abstractNum w:abstractNumId="1" w15:restartNumberingAfterBreak="0">
    <w:nsid w:val="2C88122E"/>
    <w:multiLevelType w:val="hybridMultilevel"/>
    <w:tmpl w:val="2A2410F4"/>
    <w:lvl w:ilvl="0" w:tplc="C2363808">
      <w:start w:val="1"/>
      <w:numFmt w:val="decimal"/>
      <w:lvlText w:val="%1."/>
      <w:lvlJc w:val="left"/>
      <w:pPr>
        <w:ind w:left="1940" w:hanging="720"/>
        <w:jc w:val="left"/>
      </w:pPr>
      <w:rPr>
        <w:rFonts w:ascii="Times New Roman" w:eastAsia="Times New Roman" w:hAnsi="Times New Roman" w:cs="Times New Roman" w:hint="default"/>
        <w:spacing w:val="-1"/>
        <w:w w:val="100"/>
        <w:sz w:val="24"/>
        <w:szCs w:val="24"/>
      </w:rPr>
    </w:lvl>
    <w:lvl w:ilvl="1" w:tplc="D5FA594A">
      <w:numFmt w:val="bullet"/>
      <w:lvlText w:val="•"/>
      <w:lvlJc w:val="left"/>
      <w:pPr>
        <w:ind w:left="2710" w:hanging="720"/>
      </w:pPr>
      <w:rPr>
        <w:rFonts w:hint="default"/>
      </w:rPr>
    </w:lvl>
    <w:lvl w:ilvl="2" w:tplc="D94A7D70">
      <w:numFmt w:val="bullet"/>
      <w:lvlText w:val="•"/>
      <w:lvlJc w:val="left"/>
      <w:pPr>
        <w:ind w:left="3480" w:hanging="720"/>
      </w:pPr>
      <w:rPr>
        <w:rFonts w:hint="default"/>
      </w:rPr>
    </w:lvl>
    <w:lvl w:ilvl="3" w:tplc="C680CDDA">
      <w:numFmt w:val="bullet"/>
      <w:lvlText w:val="•"/>
      <w:lvlJc w:val="left"/>
      <w:pPr>
        <w:ind w:left="4250" w:hanging="720"/>
      </w:pPr>
      <w:rPr>
        <w:rFonts w:hint="default"/>
      </w:rPr>
    </w:lvl>
    <w:lvl w:ilvl="4" w:tplc="AE9AF620">
      <w:numFmt w:val="bullet"/>
      <w:lvlText w:val="•"/>
      <w:lvlJc w:val="left"/>
      <w:pPr>
        <w:ind w:left="5020" w:hanging="720"/>
      </w:pPr>
      <w:rPr>
        <w:rFonts w:hint="default"/>
      </w:rPr>
    </w:lvl>
    <w:lvl w:ilvl="5" w:tplc="ABC2BAC0">
      <w:numFmt w:val="bullet"/>
      <w:lvlText w:val="•"/>
      <w:lvlJc w:val="left"/>
      <w:pPr>
        <w:ind w:left="5790" w:hanging="720"/>
      </w:pPr>
      <w:rPr>
        <w:rFonts w:hint="default"/>
      </w:rPr>
    </w:lvl>
    <w:lvl w:ilvl="6" w:tplc="F5D821C0">
      <w:numFmt w:val="bullet"/>
      <w:lvlText w:val="•"/>
      <w:lvlJc w:val="left"/>
      <w:pPr>
        <w:ind w:left="6560" w:hanging="720"/>
      </w:pPr>
      <w:rPr>
        <w:rFonts w:hint="default"/>
      </w:rPr>
    </w:lvl>
    <w:lvl w:ilvl="7" w:tplc="3AE266EE">
      <w:numFmt w:val="bullet"/>
      <w:lvlText w:val="•"/>
      <w:lvlJc w:val="left"/>
      <w:pPr>
        <w:ind w:left="7330" w:hanging="720"/>
      </w:pPr>
      <w:rPr>
        <w:rFonts w:hint="default"/>
      </w:rPr>
    </w:lvl>
    <w:lvl w:ilvl="8" w:tplc="2B803CD0">
      <w:numFmt w:val="bullet"/>
      <w:lvlText w:val="•"/>
      <w:lvlJc w:val="left"/>
      <w:pPr>
        <w:ind w:left="8100" w:hanging="720"/>
      </w:pPr>
      <w:rPr>
        <w:rFonts w:hint="default"/>
      </w:rPr>
    </w:lvl>
  </w:abstractNum>
  <w:abstractNum w:abstractNumId="2" w15:restartNumberingAfterBreak="0">
    <w:nsid w:val="312647C6"/>
    <w:multiLevelType w:val="hybridMultilevel"/>
    <w:tmpl w:val="8B6C5460"/>
    <w:lvl w:ilvl="0" w:tplc="4BE2A46C">
      <w:start w:val="1"/>
      <w:numFmt w:val="lowerLetter"/>
      <w:lvlText w:val="(%1)"/>
      <w:lvlJc w:val="left"/>
      <w:pPr>
        <w:ind w:left="2576" w:hanging="720"/>
        <w:jc w:val="left"/>
      </w:pPr>
      <w:rPr>
        <w:rFonts w:ascii="Times New Roman" w:eastAsia="Times New Roman" w:hAnsi="Times New Roman" w:cs="Times New Roman" w:hint="default"/>
        <w:spacing w:val="-6"/>
        <w:w w:val="99"/>
        <w:sz w:val="24"/>
        <w:szCs w:val="24"/>
      </w:rPr>
    </w:lvl>
    <w:lvl w:ilvl="1" w:tplc="6F14E98C">
      <w:numFmt w:val="bullet"/>
      <w:lvlText w:val="•"/>
      <w:lvlJc w:val="left"/>
      <w:pPr>
        <w:ind w:left="3286" w:hanging="720"/>
      </w:pPr>
      <w:rPr>
        <w:rFonts w:hint="default"/>
      </w:rPr>
    </w:lvl>
    <w:lvl w:ilvl="2" w:tplc="3BB4F81E">
      <w:numFmt w:val="bullet"/>
      <w:lvlText w:val="•"/>
      <w:lvlJc w:val="left"/>
      <w:pPr>
        <w:ind w:left="3992" w:hanging="720"/>
      </w:pPr>
      <w:rPr>
        <w:rFonts w:hint="default"/>
      </w:rPr>
    </w:lvl>
    <w:lvl w:ilvl="3" w:tplc="2040C368">
      <w:numFmt w:val="bullet"/>
      <w:lvlText w:val="•"/>
      <w:lvlJc w:val="left"/>
      <w:pPr>
        <w:ind w:left="4698" w:hanging="720"/>
      </w:pPr>
      <w:rPr>
        <w:rFonts w:hint="default"/>
      </w:rPr>
    </w:lvl>
    <w:lvl w:ilvl="4" w:tplc="F6FE0E6C">
      <w:numFmt w:val="bullet"/>
      <w:lvlText w:val="•"/>
      <w:lvlJc w:val="left"/>
      <w:pPr>
        <w:ind w:left="5404" w:hanging="720"/>
      </w:pPr>
      <w:rPr>
        <w:rFonts w:hint="default"/>
      </w:rPr>
    </w:lvl>
    <w:lvl w:ilvl="5" w:tplc="9154AFEC">
      <w:numFmt w:val="bullet"/>
      <w:lvlText w:val="•"/>
      <w:lvlJc w:val="left"/>
      <w:pPr>
        <w:ind w:left="6110" w:hanging="720"/>
      </w:pPr>
      <w:rPr>
        <w:rFonts w:hint="default"/>
      </w:rPr>
    </w:lvl>
    <w:lvl w:ilvl="6" w:tplc="972CFAF6">
      <w:numFmt w:val="bullet"/>
      <w:lvlText w:val="•"/>
      <w:lvlJc w:val="left"/>
      <w:pPr>
        <w:ind w:left="6816" w:hanging="720"/>
      </w:pPr>
      <w:rPr>
        <w:rFonts w:hint="default"/>
      </w:rPr>
    </w:lvl>
    <w:lvl w:ilvl="7" w:tplc="405420CA">
      <w:numFmt w:val="bullet"/>
      <w:lvlText w:val="•"/>
      <w:lvlJc w:val="left"/>
      <w:pPr>
        <w:ind w:left="7522" w:hanging="720"/>
      </w:pPr>
      <w:rPr>
        <w:rFonts w:hint="default"/>
      </w:rPr>
    </w:lvl>
    <w:lvl w:ilvl="8" w:tplc="6EA070D6">
      <w:numFmt w:val="bullet"/>
      <w:lvlText w:val="•"/>
      <w:lvlJc w:val="left"/>
      <w:pPr>
        <w:ind w:left="8228" w:hanging="720"/>
      </w:pPr>
      <w:rPr>
        <w:rFonts w:hint="default"/>
      </w:rPr>
    </w:lvl>
  </w:abstractNum>
  <w:abstractNum w:abstractNumId="3" w15:restartNumberingAfterBreak="0">
    <w:nsid w:val="3F946315"/>
    <w:multiLevelType w:val="hybridMultilevel"/>
    <w:tmpl w:val="E3E69688"/>
    <w:lvl w:ilvl="0" w:tplc="7F4CF650">
      <w:start w:val="1"/>
      <w:numFmt w:val="decimal"/>
      <w:lvlText w:val="%1."/>
      <w:lvlJc w:val="left"/>
      <w:pPr>
        <w:ind w:left="1940" w:hanging="720"/>
        <w:jc w:val="left"/>
      </w:pPr>
      <w:rPr>
        <w:rFonts w:ascii="Times New Roman" w:eastAsia="Times New Roman" w:hAnsi="Times New Roman" w:cs="Times New Roman" w:hint="default"/>
        <w:spacing w:val="-1"/>
        <w:w w:val="100"/>
        <w:sz w:val="24"/>
        <w:szCs w:val="24"/>
      </w:rPr>
    </w:lvl>
    <w:lvl w:ilvl="1" w:tplc="E6A841C6">
      <w:numFmt w:val="bullet"/>
      <w:lvlText w:val="•"/>
      <w:lvlJc w:val="left"/>
      <w:pPr>
        <w:ind w:left="2710" w:hanging="720"/>
      </w:pPr>
      <w:rPr>
        <w:rFonts w:hint="default"/>
      </w:rPr>
    </w:lvl>
    <w:lvl w:ilvl="2" w:tplc="A4083AEC">
      <w:numFmt w:val="bullet"/>
      <w:lvlText w:val="•"/>
      <w:lvlJc w:val="left"/>
      <w:pPr>
        <w:ind w:left="3480" w:hanging="720"/>
      </w:pPr>
      <w:rPr>
        <w:rFonts w:hint="default"/>
      </w:rPr>
    </w:lvl>
    <w:lvl w:ilvl="3" w:tplc="FE8628AA">
      <w:numFmt w:val="bullet"/>
      <w:lvlText w:val="•"/>
      <w:lvlJc w:val="left"/>
      <w:pPr>
        <w:ind w:left="4250" w:hanging="720"/>
      </w:pPr>
      <w:rPr>
        <w:rFonts w:hint="default"/>
      </w:rPr>
    </w:lvl>
    <w:lvl w:ilvl="4" w:tplc="6D5A9572">
      <w:numFmt w:val="bullet"/>
      <w:lvlText w:val="•"/>
      <w:lvlJc w:val="left"/>
      <w:pPr>
        <w:ind w:left="5020" w:hanging="720"/>
      </w:pPr>
      <w:rPr>
        <w:rFonts w:hint="default"/>
      </w:rPr>
    </w:lvl>
    <w:lvl w:ilvl="5" w:tplc="E4A889C8">
      <w:numFmt w:val="bullet"/>
      <w:lvlText w:val="•"/>
      <w:lvlJc w:val="left"/>
      <w:pPr>
        <w:ind w:left="5790" w:hanging="720"/>
      </w:pPr>
      <w:rPr>
        <w:rFonts w:hint="default"/>
      </w:rPr>
    </w:lvl>
    <w:lvl w:ilvl="6" w:tplc="2570C18C">
      <w:numFmt w:val="bullet"/>
      <w:lvlText w:val="•"/>
      <w:lvlJc w:val="left"/>
      <w:pPr>
        <w:ind w:left="6560" w:hanging="720"/>
      </w:pPr>
      <w:rPr>
        <w:rFonts w:hint="default"/>
      </w:rPr>
    </w:lvl>
    <w:lvl w:ilvl="7" w:tplc="A7ACDBA6">
      <w:numFmt w:val="bullet"/>
      <w:lvlText w:val="•"/>
      <w:lvlJc w:val="left"/>
      <w:pPr>
        <w:ind w:left="7330" w:hanging="720"/>
      </w:pPr>
      <w:rPr>
        <w:rFonts w:hint="default"/>
      </w:rPr>
    </w:lvl>
    <w:lvl w:ilvl="8" w:tplc="1F30BB12">
      <w:numFmt w:val="bullet"/>
      <w:lvlText w:val="•"/>
      <w:lvlJc w:val="left"/>
      <w:pPr>
        <w:ind w:left="8100" w:hanging="720"/>
      </w:pPr>
      <w:rPr>
        <w:rFonts w:hint="default"/>
      </w:rPr>
    </w:lvl>
  </w:abstractNum>
  <w:abstractNum w:abstractNumId="4" w15:restartNumberingAfterBreak="0">
    <w:nsid w:val="60404E33"/>
    <w:multiLevelType w:val="hybridMultilevel"/>
    <w:tmpl w:val="96ACC02A"/>
    <w:lvl w:ilvl="0" w:tplc="9996821C">
      <w:start w:val="1"/>
      <w:numFmt w:val="decimal"/>
      <w:lvlText w:val="(%1)"/>
      <w:lvlJc w:val="left"/>
      <w:pPr>
        <w:ind w:left="140" w:hanging="720"/>
        <w:jc w:val="left"/>
      </w:pPr>
      <w:rPr>
        <w:rFonts w:ascii="Times New Roman" w:eastAsia="Times New Roman" w:hAnsi="Times New Roman" w:cs="Times New Roman" w:hint="default"/>
        <w:spacing w:val="-3"/>
        <w:w w:val="99"/>
        <w:sz w:val="24"/>
        <w:szCs w:val="24"/>
      </w:rPr>
    </w:lvl>
    <w:lvl w:ilvl="1" w:tplc="CF40802E">
      <w:start w:val="1"/>
      <w:numFmt w:val="lowerLetter"/>
      <w:lvlText w:val="(%2)"/>
      <w:lvlJc w:val="left"/>
      <w:pPr>
        <w:ind w:left="1580" w:hanging="720"/>
        <w:jc w:val="left"/>
      </w:pPr>
      <w:rPr>
        <w:rFonts w:ascii="Times New Roman" w:eastAsia="Times New Roman" w:hAnsi="Times New Roman" w:cs="Times New Roman" w:hint="default"/>
        <w:spacing w:val="-1"/>
        <w:w w:val="99"/>
        <w:sz w:val="24"/>
        <w:szCs w:val="24"/>
      </w:rPr>
    </w:lvl>
    <w:lvl w:ilvl="2" w:tplc="E2521800">
      <w:numFmt w:val="bullet"/>
      <w:lvlText w:val="•"/>
      <w:lvlJc w:val="left"/>
      <w:pPr>
        <w:ind w:left="2475" w:hanging="720"/>
      </w:pPr>
      <w:rPr>
        <w:rFonts w:hint="default"/>
      </w:rPr>
    </w:lvl>
    <w:lvl w:ilvl="3" w:tplc="00947B5E">
      <w:numFmt w:val="bullet"/>
      <w:lvlText w:val="•"/>
      <w:lvlJc w:val="left"/>
      <w:pPr>
        <w:ind w:left="3371" w:hanging="720"/>
      </w:pPr>
      <w:rPr>
        <w:rFonts w:hint="default"/>
      </w:rPr>
    </w:lvl>
    <w:lvl w:ilvl="4" w:tplc="500AEEE4">
      <w:numFmt w:val="bullet"/>
      <w:lvlText w:val="•"/>
      <w:lvlJc w:val="left"/>
      <w:pPr>
        <w:ind w:left="4266" w:hanging="720"/>
      </w:pPr>
      <w:rPr>
        <w:rFonts w:hint="default"/>
      </w:rPr>
    </w:lvl>
    <w:lvl w:ilvl="5" w:tplc="380EBB1A">
      <w:numFmt w:val="bullet"/>
      <w:lvlText w:val="•"/>
      <w:lvlJc w:val="left"/>
      <w:pPr>
        <w:ind w:left="5162" w:hanging="720"/>
      </w:pPr>
      <w:rPr>
        <w:rFonts w:hint="default"/>
      </w:rPr>
    </w:lvl>
    <w:lvl w:ilvl="6" w:tplc="5E44E65C">
      <w:numFmt w:val="bullet"/>
      <w:lvlText w:val="•"/>
      <w:lvlJc w:val="left"/>
      <w:pPr>
        <w:ind w:left="6057" w:hanging="720"/>
      </w:pPr>
      <w:rPr>
        <w:rFonts w:hint="default"/>
      </w:rPr>
    </w:lvl>
    <w:lvl w:ilvl="7" w:tplc="FD52F02E">
      <w:numFmt w:val="bullet"/>
      <w:lvlText w:val="•"/>
      <w:lvlJc w:val="left"/>
      <w:pPr>
        <w:ind w:left="6953" w:hanging="720"/>
      </w:pPr>
      <w:rPr>
        <w:rFonts w:hint="default"/>
      </w:rPr>
    </w:lvl>
    <w:lvl w:ilvl="8" w:tplc="93CC9B68">
      <w:numFmt w:val="bullet"/>
      <w:lvlText w:val="•"/>
      <w:lvlJc w:val="left"/>
      <w:pPr>
        <w:ind w:left="7848" w:hanging="72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yMjY1MzYzMjM1MbRU0lEKTi0uzszPAykwrAUAb4CzkiwAAAA="/>
  </w:docVars>
  <w:rsids>
    <w:rsidRoot w:val="00950473"/>
    <w:rsid w:val="003603ED"/>
    <w:rsid w:val="00950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F8DC725"/>
  <w15:docId w15:val="{79E22F72-26EF-4755-9761-E5ADB100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3603ED"/>
    <w:pPr>
      <w:spacing w:before="92"/>
      <w:ind w:left="2124" w:right="2124"/>
      <w:jc w:val="center"/>
      <w:outlineLvl w:val="0"/>
    </w:pPr>
    <w:rPr>
      <w:rFonts w:ascii="Arial"/>
      <w:b/>
      <w:bCs/>
      <w:sz w:val="28"/>
      <w:szCs w:val="28"/>
    </w:rPr>
  </w:style>
  <w:style w:type="paragraph" w:styleId="Heading2">
    <w:name w:val="heading 2"/>
    <w:basedOn w:val="Heading1"/>
    <w:uiPriority w:val="9"/>
    <w:unhideWhenUsed/>
    <w:qFormat/>
    <w:rsid w:val="003603ED"/>
    <w:pPr>
      <w:ind w:left="0"/>
      <w:jc w:val="lef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80" w:hanging="720"/>
    </w:pPr>
  </w:style>
  <w:style w:type="paragraph" w:customStyle="1" w:styleId="TableParagraph">
    <w:name w:val="Table Paragraph"/>
    <w:basedOn w:val="Normal"/>
    <w:uiPriority w:val="1"/>
    <w:qFormat/>
    <w:pPr>
      <w:spacing w:before="133"/>
    </w:pPr>
  </w:style>
  <w:style w:type="table" w:styleId="TableGrid">
    <w:name w:val="Table Grid"/>
    <w:basedOn w:val="TableNormal"/>
    <w:uiPriority w:val="39"/>
    <w:rsid w:val="00360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03ED"/>
    <w:pPr>
      <w:tabs>
        <w:tab w:val="center" w:pos="4680"/>
        <w:tab w:val="right" w:pos="9360"/>
      </w:tabs>
    </w:pPr>
  </w:style>
  <w:style w:type="character" w:customStyle="1" w:styleId="HeaderChar">
    <w:name w:val="Header Char"/>
    <w:basedOn w:val="DefaultParagraphFont"/>
    <w:link w:val="Header"/>
    <w:uiPriority w:val="99"/>
    <w:rsid w:val="003603ED"/>
    <w:rPr>
      <w:rFonts w:ascii="Times New Roman" w:eastAsia="Times New Roman" w:hAnsi="Times New Roman" w:cs="Times New Roman"/>
    </w:rPr>
  </w:style>
  <w:style w:type="paragraph" w:styleId="Footer">
    <w:name w:val="footer"/>
    <w:basedOn w:val="Normal"/>
    <w:link w:val="FooterChar"/>
    <w:uiPriority w:val="99"/>
    <w:unhideWhenUsed/>
    <w:rsid w:val="003603ED"/>
    <w:pPr>
      <w:tabs>
        <w:tab w:val="center" w:pos="4680"/>
        <w:tab w:val="right" w:pos="9360"/>
      </w:tabs>
    </w:pPr>
  </w:style>
  <w:style w:type="character" w:customStyle="1" w:styleId="FooterChar">
    <w:name w:val="Footer Char"/>
    <w:basedOn w:val="DefaultParagraphFont"/>
    <w:link w:val="Footer"/>
    <w:uiPriority w:val="99"/>
    <w:rsid w:val="003603ED"/>
    <w:rPr>
      <w:rFonts w:ascii="Times New Roman" w:eastAsia="Times New Roman" w:hAnsi="Times New Roman" w:cs="Times New Roman"/>
    </w:rPr>
  </w:style>
  <w:style w:type="paragraph" w:styleId="Title">
    <w:name w:val="Title"/>
    <w:basedOn w:val="Normal"/>
    <w:next w:val="Normal"/>
    <w:link w:val="TitleChar"/>
    <w:uiPriority w:val="10"/>
    <w:qFormat/>
    <w:rsid w:val="003603ED"/>
    <w:pPr>
      <w:spacing w:before="94"/>
      <w:ind w:left="2124" w:right="2122"/>
      <w:jc w:val="center"/>
    </w:pPr>
    <w:rPr>
      <w:rFonts w:ascii="Arial"/>
      <w:b/>
    </w:rPr>
  </w:style>
  <w:style w:type="character" w:customStyle="1" w:styleId="TitleChar">
    <w:name w:val="Title Char"/>
    <w:basedOn w:val="DefaultParagraphFont"/>
    <w:link w:val="Title"/>
    <w:uiPriority w:val="10"/>
    <w:rsid w:val="003603ED"/>
    <w:rPr>
      <w:rFonts w:ascii="Arial"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howell@unf.ed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howell@unf.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unf.edu/dept/cdrc/" TargetMode="External"/><Relationship Id="rId4" Type="http://schemas.openxmlformats.org/officeDocument/2006/relationships/webSettings" Target="webSettings.xml"/><Relationship Id="rId9" Type="http://schemas.openxmlformats.org/officeDocument/2006/relationships/hyperlink" Target="http://www.unfhousing.com/room_rates.asp"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2006</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5860A1C2-64E5-4BDE-A446-DF83666FD8CD}"/>
</file>

<file path=customXml/itemProps2.xml><?xml version="1.0" encoding="utf-8"?>
<ds:datastoreItem xmlns:ds="http://schemas.openxmlformats.org/officeDocument/2006/customXml" ds:itemID="{34B9050A-F8C3-4E7E-A9C8-9D03AB40621B}"/>
</file>

<file path=customXml/itemProps3.xml><?xml version="1.0" encoding="utf-8"?>
<ds:datastoreItem xmlns:ds="http://schemas.openxmlformats.org/officeDocument/2006/customXml" ds:itemID="{6B226B5C-BF39-47F2-BE69-C7BBBF14BB50}"/>
</file>

<file path=docProps/app.xml><?xml version="1.0" encoding="utf-8"?>
<Properties xmlns="http://schemas.openxmlformats.org/officeDocument/2006/extended-properties" xmlns:vt="http://schemas.openxmlformats.org/officeDocument/2006/docPropsVTypes">
  <Template>Normal</Template>
  <TotalTime>0</TotalTime>
  <Pages>11</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satisfied Microsoft Office User</dc:creator>
  <cp:lastModifiedBy>Rossomano, Nicole</cp:lastModifiedBy>
  <cp:revision>2</cp:revision>
  <dcterms:created xsi:type="dcterms:W3CDTF">2020-02-26T20:52:00Z</dcterms:created>
  <dcterms:modified xsi:type="dcterms:W3CDTF">2020-02-26T20:52:00Z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2014-02-26T00:00:00Z</vt:filetime>
  </property>
  <property fmtid="{D5CDD505-2E9C-101B-9397-08002B2CF9AE}" pid="3" name="Creator">
    <vt:lpwstr>Acrobat PDFMaker 11 for Word</vt:lpwstr>
  </property>
  <property fmtid="{D5CDD505-2E9C-101B-9397-08002B2CF9AE}" pid="4" name="LastSaved">
    <vt:filetime>2020-02-26T00:00:00Z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