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5"/>
        <w:ind w:left="0" w:right="1141" w:firstLine="0"/>
        <w:jc w:val="right"/>
        <w:rPr>
          <w:rFonts w:ascii="Arial"/>
          <w:sz w:val="24"/>
        </w:rPr>
      </w:pPr>
      <w:r>
        <w:rPr>
          <w:rFonts w:ascii="Arial"/>
          <w:sz w:val="24"/>
        </w:rPr>
        <w:t>Agenda</w:t>
      </w:r>
      <w:r>
        <w:rPr>
          <w:rFonts w:ascii="Arial"/>
          <w:spacing w:val="-4"/>
          <w:sz w:val="24"/>
        </w:rPr>
        <w:t> </w:t>
      </w:r>
      <w:r>
        <w:rPr>
          <w:rFonts w:ascii="Arial"/>
          <w:sz w:val="24"/>
        </w:rPr>
        <w:t>item:</w:t>
      </w:r>
      <w:r>
        <w:rPr>
          <w:rFonts w:ascii="Arial"/>
          <w:spacing w:val="-2"/>
          <w:sz w:val="24"/>
        </w:rPr>
        <w:t> </w:t>
      </w:r>
      <w:r>
        <w:rPr>
          <w:rFonts w:ascii="Arial"/>
          <w:spacing w:val="-5"/>
          <w:sz w:val="24"/>
        </w:rPr>
        <w:t>6C</w:t>
      </w:r>
    </w:p>
    <w:p>
      <w:pPr>
        <w:pStyle w:val="BodyText"/>
        <w:spacing w:before="5"/>
        <w:rPr>
          <w:rFonts w:ascii="Arial"/>
          <w:sz w:val="21"/>
        </w:rPr>
      </w:pPr>
    </w:p>
    <w:p>
      <w:pPr>
        <w:pStyle w:val="Title"/>
        <w:spacing w:before="92"/>
        <w:ind w:left="3005" w:right="2784"/>
        <w:jc w:val="center"/>
      </w:pPr>
      <w:r>
        <w:rPr/>
        <w:t>BOARD</w:t>
      </w:r>
      <w:r>
        <w:rPr>
          <w:spacing w:val="-3"/>
        </w:rPr>
        <w:t> </w:t>
      </w:r>
      <w:r>
        <w:rPr/>
        <w:t>OF</w:t>
      </w:r>
      <w:r>
        <w:rPr>
          <w:spacing w:val="-1"/>
        </w:rPr>
        <w:t> </w:t>
      </w:r>
      <w:r>
        <w:rPr>
          <w:spacing w:val="-2"/>
        </w:rPr>
        <w:t>TRUSTEES</w:t>
      </w:r>
    </w:p>
    <w:p>
      <w:pPr>
        <w:spacing w:before="39"/>
        <w:ind w:left="0" w:right="4164" w:firstLine="0"/>
        <w:jc w:val="right"/>
        <w:rPr>
          <w:rFonts w:ascii="Arial"/>
          <w:sz w:val="24"/>
        </w:rPr>
      </w:pPr>
      <w:r>
        <w:rPr>
          <w:rFonts w:ascii="Arial"/>
          <w:sz w:val="24"/>
        </w:rPr>
        <w:t>October</w:t>
      </w:r>
      <w:r>
        <w:rPr>
          <w:rFonts w:ascii="Arial"/>
          <w:spacing w:val="-4"/>
          <w:sz w:val="24"/>
        </w:rPr>
        <w:t> </w:t>
      </w:r>
      <w:r>
        <w:rPr>
          <w:rFonts w:ascii="Arial"/>
          <w:sz w:val="24"/>
        </w:rPr>
        <w:t>20,</w:t>
      </w:r>
      <w:r>
        <w:rPr>
          <w:rFonts w:ascii="Arial"/>
          <w:spacing w:val="-3"/>
          <w:sz w:val="24"/>
        </w:rPr>
        <w:t> </w:t>
      </w:r>
      <w:r>
        <w:rPr>
          <w:rFonts w:ascii="Arial"/>
          <w:spacing w:val="-4"/>
          <w:sz w:val="24"/>
        </w:rPr>
        <w:t>2005</w:t>
      </w:r>
    </w:p>
    <w:p>
      <w:pPr>
        <w:pStyle w:val="BodyText"/>
        <w:spacing w:before="3"/>
        <w:rPr>
          <w:rFonts w:ascii="Arial"/>
          <w:sz w:val="26"/>
        </w:rPr>
      </w:pPr>
    </w:p>
    <w:p>
      <w:pPr>
        <w:tabs>
          <w:tab w:pos="2159" w:val="left" w:leader="none"/>
        </w:tabs>
        <w:spacing w:before="0"/>
        <w:ind w:left="0" w:right="4251" w:firstLine="0"/>
        <w:jc w:val="right"/>
        <w:rPr>
          <w:rFonts w:ascii="Arial"/>
          <w:sz w:val="24"/>
        </w:rPr>
      </w:pPr>
      <w:r>
        <w:rPr>
          <w:rFonts w:ascii="Arial"/>
          <w:b/>
          <w:spacing w:val="-2"/>
          <w:sz w:val="24"/>
        </w:rPr>
        <w:t>Issue:</w:t>
      </w:r>
      <w:r>
        <w:rPr>
          <w:rFonts w:ascii="Arial"/>
          <w:b/>
          <w:sz w:val="24"/>
        </w:rPr>
        <w:tab/>
      </w:r>
      <w:r>
        <w:rPr>
          <w:rFonts w:ascii="Arial"/>
          <w:sz w:val="24"/>
        </w:rPr>
        <w:t>Tuition</w:t>
      </w:r>
      <w:r>
        <w:rPr>
          <w:rFonts w:ascii="Arial"/>
          <w:spacing w:val="-2"/>
          <w:sz w:val="24"/>
        </w:rPr>
        <w:t> </w:t>
      </w:r>
      <w:r>
        <w:rPr>
          <w:rFonts w:ascii="Arial"/>
          <w:sz w:val="24"/>
        </w:rPr>
        <w:t>and</w:t>
      </w:r>
      <w:r>
        <w:rPr>
          <w:rFonts w:ascii="Arial"/>
          <w:spacing w:val="-2"/>
          <w:sz w:val="24"/>
        </w:rPr>
        <w:t> </w:t>
      </w:r>
      <w:r>
        <w:rPr>
          <w:rFonts w:ascii="Arial"/>
          <w:sz w:val="24"/>
        </w:rPr>
        <w:t>Fees</w:t>
      </w:r>
      <w:r>
        <w:rPr>
          <w:rFonts w:ascii="Arial"/>
          <w:spacing w:val="-16"/>
          <w:sz w:val="24"/>
        </w:rPr>
        <w:t> </w:t>
      </w:r>
      <w:r>
        <w:rPr>
          <w:rFonts w:ascii="Arial"/>
          <w:spacing w:val="-2"/>
          <w:sz w:val="24"/>
        </w:rPr>
        <w:t>Regulation</w:t>
      </w:r>
    </w:p>
    <w:p>
      <w:pPr>
        <w:pStyle w:val="BodyText"/>
        <w:spacing w:before="5"/>
        <w:rPr>
          <w:rFonts w:ascii="Arial"/>
          <w:sz w:val="24"/>
        </w:rPr>
      </w:pPr>
      <w:r>
        <w:rPr/>
        <w:pict>
          <v:shape style="position:absolute;margin-left:88.550102pt;margin-top:15.249983pt;width:434.9pt;height:.1pt;mso-position-horizontal-relative:page;mso-position-vertical-relative:paragraph;z-index:-15728640;mso-wrap-distance-left:0;mso-wrap-distance-right:0" id="docshape1" coordorigin="1771,305" coordsize="8698,0" path="m1771,305l10469,305e" filled="false" stroked="true" strokeweight=".48pt" strokecolor="#000000">
            <v:path arrowok="t"/>
            <v:stroke dashstyle="solid"/>
            <w10:wrap type="topAndBottom"/>
          </v:shape>
        </w:pict>
      </w:r>
    </w:p>
    <w:p>
      <w:pPr>
        <w:pStyle w:val="BodyText"/>
        <w:spacing w:before="10"/>
        <w:rPr>
          <w:rFonts w:ascii="Arial"/>
          <w:sz w:val="20"/>
        </w:rPr>
      </w:pPr>
    </w:p>
    <w:p>
      <w:pPr>
        <w:spacing w:before="0"/>
        <w:ind w:left="1000" w:right="0" w:firstLine="0"/>
        <w:jc w:val="left"/>
        <w:rPr>
          <w:rFonts w:ascii="Arial"/>
          <w:sz w:val="24"/>
        </w:rPr>
      </w:pPr>
      <w:r>
        <w:rPr>
          <w:rFonts w:ascii="Arial"/>
          <w:b/>
          <w:sz w:val="24"/>
        </w:rPr>
        <w:t>Proposed</w:t>
      </w:r>
      <w:r>
        <w:rPr>
          <w:rFonts w:ascii="Arial"/>
          <w:b/>
          <w:spacing w:val="-3"/>
          <w:sz w:val="24"/>
        </w:rPr>
        <w:t> </w:t>
      </w:r>
      <w:r>
        <w:rPr>
          <w:rFonts w:ascii="Arial"/>
          <w:b/>
          <w:sz w:val="24"/>
        </w:rPr>
        <w:t>action:</w:t>
      </w:r>
      <w:r>
        <w:rPr>
          <w:rFonts w:ascii="Arial"/>
          <w:b/>
          <w:spacing w:val="59"/>
          <w:sz w:val="24"/>
        </w:rPr>
        <w:t> </w:t>
      </w:r>
      <w:r>
        <w:rPr>
          <w:rFonts w:ascii="Arial"/>
          <w:spacing w:val="-2"/>
          <w:sz w:val="24"/>
        </w:rPr>
        <w:t>Approval</w:t>
      </w:r>
    </w:p>
    <w:p>
      <w:pPr>
        <w:pStyle w:val="BodyText"/>
        <w:rPr>
          <w:rFonts w:ascii="Arial"/>
          <w:sz w:val="25"/>
        </w:rPr>
      </w:pPr>
      <w:r>
        <w:rPr/>
        <w:pict>
          <v:shape style="position:absolute;margin-left:88.550102pt;margin-top:15.585448pt;width:434.9pt;height:.1pt;mso-position-horizontal-relative:page;mso-position-vertical-relative:paragraph;z-index:-15728128;mso-wrap-distance-left:0;mso-wrap-distance-right:0" id="docshape2" coordorigin="1771,312" coordsize="8698,0" path="m1771,312l10469,312e" filled="false" stroked="true" strokeweight=".48pt" strokecolor="#000000">
            <v:path arrowok="t"/>
            <v:stroke dashstyle="solid"/>
            <w10:wrap type="topAndBottom"/>
          </v:shape>
        </w:pict>
      </w:r>
    </w:p>
    <w:p>
      <w:pPr>
        <w:pStyle w:val="BodyText"/>
        <w:spacing w:before="10"/>
        <w:rPr>
          <w:rFonts w:ascii="Arial"/>
          <w:sz w:val="20"/>
        </w:rPr>
      </w:pPr>
    </w:p>
    <w:p>
      <w:pPr>
        <w:pStyle w:val="Title"/>
      </w:pPr>
      <w:r>
        <w:rPr/>
        <w:t>Background</w:t>
      </w:r>
      <w:r>
        <w:rPr>
          <w:spacing w:val="-5"/>
        </w:rPr>
        <w:t> </w:t>
      </w:r>
      <w:r>
        <w:rPr>
          <w:spacing w:val="-2"/>
        </w:rPr>
        <w:t>information:</w:t>
      </w:r>
    </w:p>
    <w:p>
      <w:pPr>
        <w:pStyle w:val="BodyText"/>
        <w:spacing w:before="3"/>
        <w:rPr>
          <w:rFonts w:ascii="Arial"/>
          <w:b/>
          <w:sz w:val="24"/>
        </w:rPr>
      </w:pPr>
    </w:p>
    <w:p>
      <w:pPr>
        <w:spacing w:line="240" w:lineRule="auto" w:before="0"/>
        <w:ind w:left="997" w:right="799" w:firstLine="0"/>
        <w:jc w:val="left"/>
        <w:rPr>
          <w:rFonts w:ascii="Arial" w:hAnsi="Arial"/>
          <w:sz w:val="24"/>
        </w:rPr>
      </w:pPr>
      <w:r>
        <w:rPr>
          <w:rFonts w:ascii="Arial" w:hAnsi="Arial"/>
          <w:sz w:val="24"/>
        </w:rPr>
        <w:t>On July 21, 2005, the Florida Board of Governors adopted a new university regulation</w:t>
      </w:r>
      <w:r>
        <w:rPr>
          <w:rFonts w:ascii="Arial" w:hAnsi="Arial"/>
          <w:spacing w:val="-1"/>
          <w:sz w:val="24"/>
        </w:rPr>
        <w:t> </w:t>
      </w:r>
      <w:r>
        <w:rPr>
          <w:rFonts w:ascii="Arial" w:hAnsi="Arial"/>
          <w:sz w:val="24"/>
        </w:rPr>
        <w:t>development</w:t>
      </w:r>
      <w:r>
        <w:rPr>
          <w:rFonts w:ascii="Arial" w:hAnsi="Arial"/>
          <w:spacing w:val="-1"/>
          <w:sz w:val="24"/>
        </w:rPr>
        <w:t> </w:t>
      </w:r>
      <w:r>
        <w:rPr>
          <w:rFonts w:ascii="Arial" w:hAnsi="Arial"/>
          <w:sz w:val="24"/>
        </w:rPr>
        <w:t>process.</w:t>
      </w:r>
      <w:r>
        <w:rPr>
          <w:rFonts w:ascii="Arial" w:hAnsi="Arial"/>
          <w:spacing w:val="-4"/>
          <w:sz w:val="24"/>
        </w:rPr>
        <w:t> </w:t>
      </w:r>
      <w:r>
        <w:rPr>
          <w:rFonts w:ascii="Arial" w:hAnsi="Arial"/>
          <w:sz w:val="24"/>
        </w:rPr>
        <w:t>Under</w:t>
      </w:r>
      <w:r>
        <w:rPr>
          <w:rFonts w:ascii="Arial" w:hAnsi="Arial"/>
          <w:spacing w:val="-3"/>
          <w:sz w:val="24"/>
        </w:rPr>
        <w:t> </w:t>
      </w:r>
      <w:r>
        <w:rPr>
          <w:rFonts w:ascii="Arial" w:hAnsi="Arial"/>
          <w:sz w:val="24"/>
        </w:rPr>
        <w:t>the</w:t>
      </w:r>
      <w:r>
        <w:rPr>
          <w:rFonts w:ascii="Arial" w:hAnsi="Arial"/>
          <w:spacing w:val="-3"/>
          <w:sz w:val="24"/>
        </w:rPr>
        <w:t> </w:t>
      </w:r>
      <w:r>
        <w:rPr>
          <w:rFonts w:ascii="Arial" w:hAnsi="Arial"/>
          <w:sz w:val="24"/>
        </w:rPr>
        <w:t>new</w:t>
      </w:r>
      <w:r>
        <w:rPr>
          <w:rFonts w:ascii="Arial" w:hAnsi="Arial"/>
          <w:spacing w:val="-2"/>
          <w:sz w:val="24"/>
        </w:rPr>
        <w:t> </w:t>
      </w:r>
      <w:r>
        <w:rPr>
          <w:rFonts w:ascii="Arial" w:hAnsi="Arial"/>
          <w:sz w:val="24"/>
        </w:rPr>
        <w:t>process,</w:t>
      </w:r>
      <w:r>
        <w:rPr>
          <w:rFonts w:ascii="Arial" w:hAnsi="Arial"/>
          <w:spacing w:val="-4"/>
          <w:sz w:val="24"/>
        </w:rPr>
        <w:t> </w:t>
      </w:r>
      <w:r>
        <w:rPr>
          <w:rFonts w:ascii="Arial" w:hAnsi="Arial"/>
          <w:sz w:val="24"/>
        </w:rPr>
        <w:t>there</w:t>
      </w:r>
      <w:r>
        <w:rPr>
          <w:rFonts w:ascii="Arial" w:hAnsi="Arial"/>
          <w:spacing w:val="-1"/>
          <w:sz w:val="24"/>
        </w:rPr>
        <w:t> </w:t>
      </w:r>
      <w:r>
        <w:rPr>
          <w:rFonts w:ascii="Arial" w:hAnsi="Arial"/>
          <w:sz w:val="24"/>
        </w:rPr>
        <w:t>will</w:t>
      </w:r>
      <w:r>
        <w:rPr>
          <w:rFonts w:ascii="Arial" w:hAnsi="Arial"/>
          <w:spacing w:val="-2"/>
          <w:sz w:val="24"/>
        </w:rPr>
        <w:t> </w:t>
      </w:r>
      <w:r>
        <w:rPr>
          <w:rFonts w:ascii="Arial" w:hAnsi="Arial"/>
          <w:sz w:val="24"/>
        </w:rPr>
        <w:t>no</w:t>
      </w:r>
      <w:r>
        <w:rPr>
          <w:rFonts w:ascii="Arial" w:hAnsi="Arial"/>
          <w:spacing w:val="-1"/>
          <w:sz w:val="24"/>
        </w:rPr>
        <w:t> </w:t>
      </w:r>
      <w:r>
        <w:rPr>
          <w:rFonts w:ascii="Arial" w:hAnsi="Arial"/>
          <w:sz w:val="24"/>
        </w:rPr>
        <w:t>longer</w:t>
      </w:r>
      <w:r>
        <w:rPr>
          <w:rFonts w:ascii="Arial" w:hAnsi="Arial"/>
          <w:spacing w:val="-5"/>
          <w:sz w:val="24"/>
        </w:rPr>
        <w:t> </w:t>
      </w:r>
      <w:r>
        <w:rPr>
          <w:rFonts w:ascii="Arial" w:hAnsi="Arial"/>
          <w:sz w:val="24"/>
        </w:rPr>
        <w:t>be promulgation of rules. The Florida Board of Governors has approved the “Regulation</w:t>
      </w:r>
      <w:r>
        <w:rPr>
          <w:rFonts w:ascii="Arial" w:hAnsi="Arial"/>
          <w:spacing w:val="-3"/>
          <w:sz w:val="24"/>
        </w:rPr>
        <w:t> </w:t>
      </w:r>
      <w:r>
        <w:rPr>
          <w:rFonts w:ascii="Arial" w:hAnsi="Arial"/>
          <w:sz w:val="24"/>
        </w:rPr>
        <w:t>Development</w:t>
      </w:r>
      <w:r>
        <w:rPr>
          <w:rFonts w:ascii="Arial" w:hAnsi="Arial"/>
          <w:spacing w:val="-4"/>
          <w:sz w:val="24"/>
        </w:rPr>
        <w:t> </w:t>
      </w:r>
      <w:r>
        <w:rPr>
          <w:rFonts w:ascii="Arial" w:hAnsi="Arial"/>
          <w:sz w:val="24"/>
        </w:rPr>
        <w:t>Procedure</w:t>
      </w:r>
      <w:r>
        <w:rPr>
          <w:rFonts w:ascii="Arial" w:hAnsi="Arial"/>
          <w:spacing w:val="-3"/>
          <w:sz w:val="24"/>
        </w:rPr>
        <w:t> </w:t>
      </w:r>
      <w:r>
        <w:rPr>
          <w:rFonts w:ascii="Arial" w:hAnsi="Arial"/>
          <w:sz w:val="24"/>
        </w:rPr>
        <w:t>for</w:t>
      </w:r>
      <w:r>
        <w:rPr>
          <w:rFonts w:ascii="Arial" w:hAnsi="Arial"/>
          <w:spacing w:val="-5"/>
          <w:sz w:val="24"/>
        </w:rPr>
        <w:t> </w:t>
      </w:r>
      <w:r>
        <w:rPr>
          <w:rFonts w:ascii="Arial" w:hAnsi="Arial"/>
          <w:sz w:val="24"/>
        </w:rPr>
        <w:t>State</w:t>
      </w:r>
      <w:r>
        <w:rPr>
          <w:rFonts w:ascii="Arial" w:hAnsi="Arial"/>
          <w:spacing w:val="-3"/>
          <w:sz w:val="24"/>
        </w:rPr>
        <w:t> </w:t>
      </w:r>
      <w:r>
        <w:rPr>
          <w:rFonts w:ascii="Arial" w:hAnsi="Arial"/>
          <w:sz w:val="24"/>
        </w:rPr>
        <w:t>University</w:t>
      </w:r>
      <w:r>
        <w:rPr>
          <w:rFonts w:ascii="Arial" w:hAnsi="Arial"/>
          <w:spacing w:val="-4"/>
          <w:sz w:val="24"/>
        </w:rPr>
        <w:t> </w:t>
      </w:r>
      <w:r>
        <w:rPr>
          <w:rFonts w:ascii="Arial" w:hAnsi="Arial"/>
          <w:sz w:val="24"/>
        </w:rPr>
        <w:t>Boards</w:t>
      </w:r>
      <w:r>
        <w:rPr>
          <w:rFonts w:ascii="Arial" w:hAnsi="Arial"/>
          <w:spacing w:val="-6"/>
          <w:sz w:val="24"/>
        </w:rPr>
        <w:t> </w:t>
      </w:r>
      <w:r>
        <w:rPr>
          <w:rFonts w:ascii="Arial" w:hAnsi="Arial"/>
          <w:sz w:val="24"/>
        </w:rPr>
        <w:t>of</w:t>
      </w:r>
      <w:r>
        <w:rPr>
          <w:rFonts w:ascii="Arial" w:hAnsi="Arial"/>
          <w:spacing w:val="-6"/>
          <w:sz w:val="24"/>
        </w:rPr>
        <w:t> </w:t>
      </w:r>
      <w:r>
        <w:rPr>
          <w:rFonts w:ascii="Arial" w:hAnsi="Arial"/>
          <w:sz w:val="24"/>
        </w:rPr>
        <w:t>Trustees”</w:t>
      </w:r>
      <w:r>
        <w:rPr>
          <w:rFonts w:ascii="Arial" w:hAnsi="Arial"/>
          <w:spacing w:val="-5"/>
          <w:sz w:val="24"/>
        </w:rPr>
        <w:t> </w:t>
      </w:r>
      <w:r>
        <w:rPr>
          <w:rFonts w:ascii="Arial" w:hAnsi="Arial"/>
          <w:sz w:val="24"/>
        </w:rPr>
        <w:t>for the processing and adoption of university regulations (formerly rules). When a new</w:t>
      </w:r>
      <w:r>
        <w:rPr>
          <w:rFonts w:ascii="Arial" w:hAnsi="Arial"/>
          <w:spacing w:val="-3"/>
          <w:sz w:val="24"/>
        </w:rPr>
        <w:t> </w:t>
      </w:r>
      <w:r>
        <w:rPr>
          <w:rFonts w:ascii="Arial" w:hAnsi="Arial"/>
          <w:sz w:val="24"/>
        </w:rPr>
        <w:t>regulation</w:t>
      </w:r>
      <w:r>
        <w:rPr>
          <w:rFonts w:ascii="Arial" w:hAnsi="Arial"/>
          <w:spacing w:val="-2"/>
          <w:sz w:val="24"/>
        </w:rPr>
        <w:t> </w:t>
      </w:r>
      <w:r>
        <w:rPr>
          <w:rFonts w:ascii="Arial" w:hAnsi="Arial"/>
          <w:sz w:val="24"/>
        </w:rPr>
        <w:t>is</w:t>
      </w:r>
      <w:r>
        <w:rPr>
          <w:rFonts w:ascii="Arial" w:hAnsi="Arial"/>
          <w:spacing w:val="-3"/>
          <w:sz w:val="24"/>
        </w:rPr>
        <w:t> </w:t>
      </w:r>
      <w:r>
        <w:rPr>
          <w:rFonts w:ascii="Arial" w:hAnsi="Arial"/>
          <w:sz w:val="24"/>
        </w:rPr>
        <w:t>proposed</w:t>
      </w:r>
      <w:r>
        <w:rPr>
          <w:rFonts w:ascii="Arial" w:hAnsi="Arial"/>
          <w:spacing w:val="-4"/>
          <w:sz w:val="24"/>
        </w:rPr>
        <w:t> </w:t>
      </w:r>
      <w:r>
        <w:rPr>
          <w:rFonts w:ascii="Arial" w:hAnsi="Arial"/>
          <w:sz w:val="24"/>
        </w:rPr>
        <w:t>or</w:t>
      </w:r>
      <w:r>
        <w:rPr>
          <w:rFonts w:ascii="Arial" w:hAnsi="Arial"/>
          <w:spacing w:val="-4"/>
          <w:sz w:val="24"/>
        </w:rPr>
        <w:t> </w:t>
      </w:r>
      <w:r>
        <w:rPr>
          <w:rFonts w:ascii="Arial" w:hAnsi="Arial"/>
          <w:sz w:val="24"/>
        </w:rPr>
        <w:t>an</w:t>
      </w:r>
      <w:r>
        <w:rPr>
          <w:rFonts w:ascii="Arial" w:hAnsi="Arial"/>
          <w:spacing w:val="-4"/>
          <w:sz w:val="24"/>
        </w:rPr>
        <w:t> </w:t>
      </w:r>
      <w:r>
        <w:rPr>
          <w:rFonts w:ascii="Arial" w:hAnsi="Arial"/>
          <w:sz w:val="24"/>
        </w:rPr>
        <w:t>existing</w:t>
      </w:r>
      <w:r>
        <w:rPr>
          <w:rFonts w:ascii="Arial" w:hAnsi="Arial"/>
          <w:spacing w:val="-2"/>
          <w:sz w:val="24"/>
        </w:rPr>
        <w:t> </w:t>
      </w:r>
      <w:r>
        <w:rPr>
          <w:rFonts w:ascii="Arial" w:hAnsi="Arial"/>
          <w:sz w:val="24"/>
        </w:rPr>
        <w:t>regulation</w:t>
      </w:r>
      <w:r>
        <w:rPr>
          <w:rFonts w:ascii="Arial" w:hAnsi="Arial"/>
          <w:spacing w:val="-4"/>
          <w:sz w:val="24"/>
        </w:rPr>
        <w:t> </w:t>
      </w:r>
      <w:r>
        <w:rPr>
          <w:rFonts w:ascii="Arial" w:hAnsi="Arial"/>
          <w:sz w:val="24"/>
        </w:rPr>
        <w:t>is</w:t>
      </w:r>
      <w:r>
        <w:rPr>
          <w:rFonts w:ascii="Arial" w:hAnsi="Arial"/>
          <w:spacing w:val="-3"/>
          <w:sz w:val="24"/>
        </w:rPr>
        <w:t> </w:t>
      </w:r>
      <w:r>
        <w:rPr>
          <w:rFonts w:ascii="Arial" w:hAnsi="Arial"/>
          <w:sz w:val="24"/>
        </w:rPr>
        <w:t>revised</w:t>
      </w:r>
      <w:r>
        <w:rPr>
          <w:rFonts w:ascii="Arial" w:hAnsi="Arial"/>
          <w:spacing w:val="-4"/>
          <w:sz w:val="24"/>
        </w:rPr>
        <w:t> </w:t>
      </w:r>
      <w:r>
        <w:rPr>
          <w:rFonts w:ascii="Arial" w:hAnsi="Arial"/>
          <w:sz w:val="24"/>
        </w:rPr>
        <w:t>or</w:t>
      </w:r>
      <w:r>
        <w:rPr>
          <w:rFonts w:ascii="Arial" w:hAnsi="Arial"/>
          <w:spacing w:val="-4"/>
          <w:sz w:val="24"/>
        </w:rPr>
        <w:t> </w:t>
      </w:r>
      <w:r>
        <w:rPr>
          <w:rFonts w:ascii="Arial" w:hAnsi="Arial"/>
          <w:sz w:val="24"/>
        </w:rPr>
        <w:t>repealed,</w:t>
      </w:r>
      <w:r>
        <w:rPr>
          <w:rFonts w:ascii="Arial" w:hAnsi="Arial"/>
          <w:spacing w:val="-3"/>
          <w:sz w:val="24"/>
        </w:rPr>
        <w:t> </w:t>
      </w:r>
      <w:r>
        <w:rPr>
          <w:rFonts w:ascii="Arial" w:hAnsi="Arial"/>
          <w:sz w:val="24"/>
        </w:rPr>
        <w:t>it</w:t>
      </w:r>
      <w:r>
        <w:rPr>
          <w:rFonts w:ascii="Arial" w:hAnsi="Arial"/>
          <w:spacing w:val="-2"/>
          <w:sz w:val="24"/>
        </w:rPr>
        <w:t> </w:t>
      </w:r>
      <w:r>
        <w:rPr>
          <w:rFonts w:ascii="Arial" w:hAnsi="Arial"/>
          <w:sz w:val="24"/>
        </w:rPr>
        <w:t>will be announced by way of the Campus Update and electronically posted via the University website. There will be a 14 day opportunity for comments. All University regulations will require approval by the full Board for adoption. Select regulations are regulations that include: tuition and fees, admissions, and articulation, which require approval by the Board of Governors.</w:t>
      </w:r>
    </w:p>
    <w:p>
      <w:pPr>
        <w:pStyle w:val="BodyText"/>
        <w:spacing w:before="2"/>
        <w:rPr>
          <w:rFonts w:ascii="Arial"/>
          <w:sz w:val="24"/>
        </w:rPr>
      </w:pPr>
    </w:p>
    <w:p>
      <w:pPr>
        <w:spacing w:before="1"/>
        <w:ind w:left="1000" w:right="794" w:firstLine="0"/>
        <w:jc w:val="left"/>
        <w:rPr>
          <w:rFonts w:ascii="Arial" w:hAnsi="Arial"/>
          <w:sz w:val="24"/>
        </w:rPr>
      </w:pPr>
      <w:r>
        <w:rPr>
          <w:rFonts w:ascii="Arial" w:hAnsi="Arial"/>
          <w:sz w:val="24"/>
        </w:rPr>
        <w:t>The new tuition regulations are being presented by the Finance and Audit Committee for approval by the full Board. After the full Board of Trustees has voted to adopt the select regulations (tuition and fee regulations) and the Board</w:t>
      </w:r>
      <w:r>
        <w:rPr>
          <w:rFonts w:ascii="Arial" w:hAnsi="Arial"/>
          <w:spacing w:val="40"/>
          <w:sz w:val="24"/>
        </w:rPr>
        <w:t> </w:t>
      </w:r>
      <w:r>
        <w:rPr>
          <w:rFonts w:ascii="Arial" w:hAnsi="Arial"/>
          <w:sz w:val="24"/>
        </w:rPr>
        <w:t>of</w:t>
      </w:r>
      <w:r>
        <w:rPr>
          <w:rFonts w:ascii="Arial" w:hAnsi="Arial"/>
          <w:spacing w:val="-3"/>
          <w:sz w:val="24"/>
        </w:rPr>
        <w:t> </w:t>
      </w:r>
      <w:r>
        <w:rPr>
          <w:rFonts w:ascii="Arial" w:hAnsi="Arial"/>
          <w:sz w:val="24"/>
        </w:rPr>
        <w:t>Trustees</w:t>
      </w:r>
      <w:r>
        <w:rPr>
          <w:rFonts w:ascii="Arial" w:hAnsi="Arial"/>
          <w:spacing w:val="-3"/>
          <w:sz w:val="24"/>
        </w:rPr>
        <w:t> </w:t>
      </w:r>
      <w:r>
        <w:rPr>
          <w:rFonts w:ascii="Arial" w:hAnsi="Arial"/>
          <w:sz w:val="24"/>
        </w:rPr>
        <w:t>has</w:t>
      </w:r>
      <w:r>
        <w:rPr>
          <w:rFonts w:ascii="Arial" w:hAnsi="Arial"/>
          <w:spacing w:val="-3"/>
          <w:sz w:val="24"/>
        </w:rPr>
        <w:t> </w:t>
      </w:r>
      <w:r>
        <w:rPr>
          <w:rFonts w:ascii="Arial" w:hAnsi="Arial"/>
          <w:sz w:val="24"/>
        </w:rPr>
        <w:t>provided</w:t>
      </w:r>
      <w:r>
        <w:rPr>
          <w:rFonts w:ascii="Arial" w:hAnsi="Arial"/>
          <w:spacing w:val="-2"/>
          <w:sz w:val="24"/>
        </w:rPr>
        <w:t> </w:t>
      </w:r>
      <w:r>
        <w:rPr>
          <w:rFonts w:ascii="Arial" w:hAnsi="Arial"/>
          <w:sz w:val="24"/>
        </w:rPr>
        <w:t>copies</w:t>
      </w:r>
      <w:r>
        <w:rPr>
          <w:rFonts w:ascii="Arial" w:hAnsi="Arial"/>
          <w:spacing w:val="-3"/>
          <w:sz w:val="24"/>
        </w:rPr>
        <w:t> </w:t>
      </w:r>
      <w:r>
        <w:rPr>
          <w:rFonts w:ascii="Arial" w:hAnsi="Arial"/>
          <w:sz w:val="24"/>
        </w:rPr>
        <w:t>to</w:t>
      </w:r>
      <w:r>
        <w:rPr>
          <w:rFonts w:ascii="Arial" w:hAnsi="Arial"/>
          <w:spacing w:val="-2"/>
          <w:sz w:val="24"/>
        </w:rPr>
        <w:t> </w:t>
      </w:r>
      <w:r>
        <w:rPr>
          <w:rFonts w:ascii="Arial" w:hAnsi="Arial"/>
          <w:sz w:val="24"/>
        </w:rPr>
        <w:t>the</w:t>
      </w:r>
      <w:r>
        <w:rPr>
          <w:rFonts w:ascii="Arial" w:hAnsi="Arial"/>
          <w:spacing w:val="-3"/>
          <w:sz w:val="24"/>
        </w:rPr>
        <w:t> </w:t>
      </w:r>
      <w:r>
        <w:rPr>
          <w:rFonts w:ascii="Arial" w:hAnsi="Arial"/>
          <w:sz w:val="24"/>
        </w:rPr>
        <w:t>Board</w:t>
      </w:r>
      <w:r>
        <w:rPr>
          <w:rFonts w:ascii="Arial" w:hAnsi="Arial"/>
          <w:spacing w:val="-4"/>
          <w:sz w:val="24"/>
        </w:rPr>
        <w:t> </w:t>
      </w:r>
      <w:r>
        <w:rPr>
          <w:rFonts w:ascii="Arial" w:hAnsi="Arial"/>
          <w:sz w:val="24"/>
        </w:rPr>
        <w:t>of</w:t>
      </w:r>
      <w:r>
        <w:rPr>
          <w:rFonts w:ascii="Arial" w:hAnsi="Arial"/>
          <w:spacing w:val="-3"/>
          <w:sz w:val="24"/>
        </w:rPr>
        <w:t> </w:t>
      </w:r>
      <w:r>
        <w:rPr>
          <w:rFonts w:ascii="Arial" w:hAnsi="Arial"/>
          <w:sz w:val="24"/>
        </w:rPr>
        <w:t>Governors,</w:t>
      </w:r>
      <w:r>
        <w:rPr>
          <w:rFonts w:ascii="Arial" w:hAnsi="Arial"/>
          <w:spacing w:val="-5"/>
          <w:sz w:val="24"/>
        </w:rPr>
        <w:t> </w:t>
      </w:r>
      <w:r>
        <w:rPr>
          <w:rFonts w:ascii="Arial" w:hAnsi="Arial"/>
          <w:sz w:val="24"/>
        </w:rPr>
        <w:t>the</w:t>
      </w:r>
      <w:r>
        <w:rPr>
          <w:rFonts w:ascii="Arial" w:hAnsi="Arial"/>
          <w:spacing w:val="-2"/>
          <w:sz w:val="24"/>
        </w:rPr>
        <w:t> </w:t>
      </w:r>
      <w:r>
        <w:rPr>
          <w:rFonts w:ascii="Arial" w:hAnsi="Arial"/>
          <w:sz w:val="24"/>
        </w:rPr>
        <w:t>select</w:t>
      </w:r>
      <w:r>
        <w:rPr>
          <w:rFonts w:ascii="Arial" w:hAnsi="Arial"/>
          <w:spacing w:val="-3"/>
          <w:sz w:val="24"/>
        </w:rPr>
        <w:t> </w:t>
      </w:r>
      <w:r>
        <w:rPr>
          <w:rFonts w:ascii="Arial" w:hAnsi="Arial"/>
          <w:sz w:val="24"/>
        </w:rPr>
        <w:t>regulations will become effective upon the Board of Governors’ approval or 60 days after being provided to the Board of Governors, whichever occurs first.</w:t>
      </w:r>
    </w:p>
    <w:p>
      <w:pPr>
        <w:pStyle w:val="BodyText"/>
        <w:spacing w:before="11"/>
        <w:rPr>
          <w:rFonts w:ascii="Arial"/>
          <w:sz w:val="23"/>
        </w:rPr>
      </w:pPr>
    </w:p>
    <w:p>
      <w:pPr>
        <w:spacing w:before="0"/>
        <w:ind w:left="999" w:right="728" w:firstLine="0"/>
        <w:jc w:val="left"/>
        <w:rPr>
          <w:rFonts w:ascii="Arial" w:hAnsi="Arial"/>
          <w:sz w:val="24"/>
        </w:rPr>
      </w:pPr>
      <w:r>
        <w:rPr>
          <w:rFonts w:ascii="Arial" w:hAnsi="Arial"/>
          <w:sz w:val="24"/>
        </w:rPr>
        <w:t>This Tuition and Fees regulation includes tuition and out-of-state fees, student fees,</w:t>
      </w:r>
      <w:r>
        <w:rPr>
          <w:rFonts w:ascii="Arial" w:hAnsi="Arial"/>
          <w:spacing w:val="-6"/>
          <w:sz w:val="24"/>
        </w:rPr>
        <w:t> </w:t>
      </w:r>
      <w:r>
        <w:rPr>
          <w:rFonts w:ascii="Arial" w:hAnsi="Arial"/>
          <w:sz w:val="24"/>
        </w:rPr>
        <w:t>on-campus</w:t>
      </w:r>
      <w:r>
        <w:rPr>
          <w:rFonts w:ascii="Arial" w:hAnsi="Arial"/>
          <w:spacing w:val="-4"/>
          <w:sz w:val="24"/>
        </w:rPr>
        <w:t> </w:t>
      </w:r>
      <w:r>
        <w:rPr>
          <w:rFonts w:ascii="Arial" w:hAnsi="Arial"/>
          <w:sz w:val="24"/>
        </w:rPr>
        <w:t>housing</w:t>
      </w:r>
      <w:r>
        <w:rPr>
          <w:rFonts w:ascii="Arial" w:hAnsi="Arial"/>
          <w:spacing w:val="-3"/>
          <w:sz w:val="24"/>
        </w:rPr>
        <w:t> </w:t>
      </w:r>
      <w:r>
        <w:rPr>
          <w:rFonts w:ascii="Arial" w:hAnsi="Arial"/>
          <w:sz w:val="24"/>
        </w:rPr>
        <w:t>rates</w:t>
      </w:r>
      <w:r>
        <w:rPr>
          <w:rFonts w:ascii="Arial" w:hAnsi="Arial"/>
          <w:spacing w:val="-4"/>
          <w:sz w:val="24"/>
        </w:rPr>
        <w:t> </w:t>
      </w:r>
      <w:r>
        <w:rPr>
          <w:rFonts w:ascii="Arial" w:hAnsi="Arial"/>
          <w:sz w:val="24"/>
        </w:rPr>
        <w:t>and</w:t>
      </w:r>
      <w:r>
        <w:rPr>
          <w:rFonts w:ascii="Arial" w:hAnsi="Arial"/>
          <w:spacing w:val="-3"/>
          <w:sz w:val="24"/>
        </w:rPr>
        <w:t> </w:t>
      </w:r>
      <w:r>
        <w:rPr>
          <w:rFonts w:ascii="Arial" w:hAnsi="Arial"/>
          <w:sz w:val="24"/>
        </w:rPr>
        <w:t>the</w:t>
      </w:r>
      <w:r>
        <w:rPr>
          <w:rFonts w:ascii="Arial" w:hAnsi="Arial"/>
          <w:spacing w:val="-3"/>
          <w:sz w:val="24"/>
        </w:rPr>
        <w:t> </w:t>
      </w:r>
      <w:r>
        <w:rPr>
          <w:rFonts w:ascii="Arial" w:hAnsi="Arial"/>
          <w:sz w:val="24"/>
        </w:rPr>
        <w:t>child</w:t>
      </w:r>
      <w:r>
        <w:rPr>
          <w:rFonts w:ascii="Arial" w:hAnsi="Arial"/>
          <w:spacing w:val="-5"/>
          <w:sz w:val="24"/>
        </w:rPr>
        <w:t> </w:t>
      </w:r>
      <w:r>
        <w:rPr>
          <w:rFonts w:ascii="Arial" w:hAnsi="Arial"/>
          <w:sz w:val="24"/>
        </w:rPr>
        <w:t>development</w:t>
      </w:r>
      <w:r>
        <w:rPr>
          <w:rFonts w:ascii="Arial" w:hAnsi="Arial"/>
          <w:spacing w:val="-6"/>
          <w:sz w:val="24"/>
        </w:rPr>
        <w:t> </w:t>
      </w:r>
      <w:r>
        <w:rPr>
          <w:rFonts w:ascii="Arial" w:hAnsi="Arial"/>
          <w:sz w:val="24"/>
        </w:rPr>
        <w:t>center</w:t>
      </w:r>
      <w:r>
        <w:rPr>
          <w:rFonts w:ascii="Arial" w:hAnsi="Arial"/>
          <w:spacing w:val="-5"/>
          <w:sz w:val="24"/>
        </w:rPr>
        <w:t> </w:t>
      </w:r>
      <w:r>
        <w:rPr>
          <w:rFonts w:ascii="Arial" w:hAnsi="Arial"/>
          <w:sz w:val="24"/>
        </w:rPr>
        <w:t>rates</w:t>
      </w:r>
      <w:r>
        <w:rPr>
          <w:rFonts w:ascii="Arial" w:hAnsi="Arial"/>
          <w:spacing w:val="-4"/>
          <w:sz w:val="24"/>
        </w:rPr>
        <w:t> </w:t>
      </w:r>
      <w:r>
        <w:rPr>
          <w:rFonts w:ascii="Arial" w:hAnsi="Arial"/>
          <w:sz w:val="24"/>
        </w:rPr>
        <w:t>previously approved by the Board of Trustees. It also incorporates the miscellaneous fees approved by the President in accord with the delegation provided him by the Board of Trustees. The new regulation recognizes the role of the Board of Trustees in setting tuition and the various fees named. The regulation also recognizes the State’s contributions to approve childcare.</w:t>
      </w:r>
    </w:p>
    <w:p>
      <w:pPr>
        <w:pStyle w:val="BodyText"/>
        <w:rPr>
          <w:rFonts w:ascii="Arial"/>
          <w:sz w:val="24"/>
        </w:rPr>
      </w:pPr>
    </w:p>
    <w:p>
      <w:pPr>
        <w:spacing w:before="0"/>
        <w:ind w:left="999" w:right="799" w:firstLine="0"/>
        <w:jc w:val="left"/>
        <w:rPr>
          <w:rFonts w:ascii="Arial"/>
          <w:sz w:val="24"/>
        </w:rPr>
      </w:pPr>
      <w:r>
        <w:rPr>
          <w:rFonts w:ascii="Arial"/>
          <w:sz w:val="24"/>
        </w:rPr>
        <w:t>Approval</w:t>
      </w:r>
      <w:r>
        <w:rPr>
          <w:rFonts w:ascii="Arial"/>
          <w:spacing w:val="-3"/>
          <w:sz w:val="24"/>
        </w:rPr>
        <w:t> </w:t>
      </w:r>
      <w:r>
        <w:rPr>
          <w:rFonts w:ascii="Arial"/>
          <w:sz w:val="24"/>
        </w:rPr>
        <w:t>of</w:t>
      </w:r>
      <w:r>
        <w:rPr>
          <w:rFonts w:ascii="Arial"/>
          <w:spacing w:val="-5"/>
          <w:sz w:val="24"/>
        </w:rPr>
        <w:t> </w:t>
      </w:r>
      <w:r>
        <w:rPr>
          <w:rFonts w:ascii="Arial"/>
          <w:sz w:val="24"/>
        </w:rPr>
        <w:t>this</w:t>
      </w:r>
      <w:r>
        <w:rPr>
          <w:rFonts w:ascii="Arial"/>
          <w:spacing w:val="-3"/>
          <w:sz w:val="24"/>
        </w:rPr>
        <w:t> </w:t>
      </w:r>
      <w:r>
        <w:rPr>
          <w:rFonts w:ascii="Arial"/>
          <w:sz w:val="24"/>
        </w:rPr>
        <w:t>regulation</w:t>
      </w:r>
      <w:r>
        <w:rPr>
          <w:rFonts w:ascii="Arial"/>
          <w:spacing w:val="-2"/>
          <w:sz w:val="24"/>
        </w:rPr>
        <w:t> </w:t>
      </w:r>
      <w:r>
        <w:rPr>
          <w:rFonts w:ascii="Arial"/>
          <w:sz w:val="24"/>
        </w:rPr>
        <w:t>also</w:t>
      </w:r>
      <w:r>
        <w:rPr>
          <w:rFonts w:ascii="Arial"/>
          <w:spacing w:val="-4"/>
          <w:sz w:val="24"/>
        </w:rPr>
        <w:t> </w:t>
      </w:r>
      <w:r>
        <w:rPr>
          <w:rFonts w:ascii="Arial"/>
          <w:sz w:val="24"/>
        </w:rPr>
        <w:t>repeals</w:t>
      </w:r>
      <w:r>
        <w:rPr>
          <w:rFonts w:ascii="Arial"/>
          <w:spacing w:val="-3"/>
          <w:sz w:val="24"/>
        </w:rPr>
        <w:t> </w:t>
      </w:r>
      <w:r>
        <w:rPr>
          <w:rFonts w:ascii="Arial"/>
          <w:sz w:val="24"/>
        </w:rPr>
        <w:t>the</w:t>
      </w:r>
      <w:r>
        <w:rPr>
          <w:rFonts w:ascii="Arial"/>
          <w:spacing w:val="-2"/>
          <w:sz w:val="24"/>
        </w:rPr>
        <w:t> </w:t>
      </w:r>
      <w:r>
        <w:rPr>
          <w:rFonts w:ascii="Arial"/>
          <w:sz w:val="24"/>
        </w:rPr>
        <w:t>old</w:t>
      </w:r>
      <w:r>
        <w:rPr>
          <w:rFonts w:ascii="Arial"/>
          <w:spacing w:val="-2"/>
          <w:sz w:val="24"/>
        </w:rPr>
        <w:t> </w:t>
      </w:r>
      <w:r>
        <w:rPr>
          <w:rFonts w:ascii="Arial"/>
          <w:sz w:val="24"/>
        </w:rPr>
        <w:t>Tuition</w:t>
      </w:r>
      <w:r>
        <w:rPr>
          <w:rFonts w:ascii="Arial"/>
          <w:spacing w:val="-4"/>
          <w:sz w:val="24"/>
        </w:rPr>
        <w:t> </w:t>
      </w:r>
      <w:r>
        <w:rPr>
          <w:rFonts w:ascii="Arial"/>
          <w:sz w:val="24"/>
        </w:rPr>
        <w:t>and</w:t>
      </w:r>
      <w:r>
        <w:rPr>
          <w:rFonts w:ascii="Arial"/>
          <w:spacing w:val="-2"/>
          <w:sz w:val="24"/>
        </w:rPr>
        <w:t> </w:t>
      </w:r>
      <w:r>
        <w:rPr>
          <w:rFonts w:ascii="Arial"/>
          <w:sz w:val="24"/>
        </w:rPr>
        <w:t>Fees</w:t>
      </w:r>
      <w:r>
        <w:rPr>
          <w:rFonts w:ascii="Arial"/>
          <w:spacing w:val="-3"/>
          <w:sz w:val="24"/>
        </w:rPr>
        <w:t> </w:t>
      </w:r>
      <w:r>
        <w:rPr>
          <w:rFonts w:ascii="Arial"/>
          <w:sz w:val="24"/>
        </w:rPr>
        <w:t>rule</w:t>
      </w:r>
      <w:r>
        <w:rPr>
          <w:rFonts w:ascii="Arial"/>
          <w:spacing w:val="-4"/>
          <w:sz w:val="24"/>
        </w:rPr>
        <w:t> </w:t>
      </w:r>
      <w:r>
        <w:rPr>
          <w:rFonts w:ascii="Arial"/>
          <w:sz w:val="24"/>
        </w:rPr>
        <w:t>previously published as Chapter 6C9-8 in the Administrative Code.</w:t>
      </w:r>
    </w:p>
    <w:p>
      <w:pPr>
        <w:pStyle w:val="BodyText"/>
        <w:rPr>
          <w:rFonts w:ascii="Arial"/>
          <w:sz w:val="20"/>
        </w:rPr>
      </w:pPr>
    </w:p>
    <w:p>
      <w:pPr>
        <w:pStyle w:val="BodyText"/>
        <w:spacing w:before="5"/>
        <w:rPr>
          <w:rFonts w:ascii="Arial"/>
          <w:sz w:val="16"/>
        </w:rPr>
      </w:pPr>
      <w:r>
        <w:rPr/>
        <w:pict>
          <v:shape style="position:absolute;margin-left:88.550102pt;margin-top:10.660433pt;width:434.9pt;height:.1pt;mso-position-horizontal-relative:page;mso-position-vertical-relative:paragraph;z-index:-15727616;mso-wrap-distance-left:0;mso-wrap-distance-right:0" id="docshape3" coordorigin="1771,213" coordsize="8698,0" path="m1771,213l10469,213e" filled="false" stroked="true" strokeweight=".48pt" strokecolor="#000000">
            <v:path arrowok="t"/>
            <v:stroke dashstyle="solid"/>
            <w10:wrap type="topAndBottom"/>
          </v:shape>
        </w:pict>
      </w:r>
    </w:p>
    <w:p>
      <w:pPr>
        <w:pStyle w:val="BodyText"/>
        <w:spacing w:before="1"/>
        <w:rPr>
          <w:rFonts w:ascii="Arial"/>
          <w:sz w:val="33"/>
        </w:rPr>
      </w:pPr>
    </w:p>
    <w:p>
      <w:pPr>
        <w:tabs>
          <w:tab w:pos="3157" w:val="left" w:leader="none"/>
        </w:tabs>
        <w:spacing w:before="0"/>
        <w:ind w:left="1000" w:right="0" w:firstLine="0"/>
        <w:jc w:val="left"/>
        <w:rPr>
          <w:rFonts w:ascii="Arial"/>
          <w:sz w:val="24"/>
        </w:rPr>
      </w:pPr>
      <w:r>
        <w:rPr>
          <w:rFonts w:ascii="Arial"/>
          <w:b/>
          <w:spacing w:val="-2"/>
          <w:sz w:val="24"/>
        </w:rPr>
        <w:t>Attachments:</w:t>
      </w:r>
      <w:r>
        <w:rPr>
          <w:rFonts w:ascii="Arial"/>
          <w:b/>
          <w:sz w:val="24"/>
        </w:rPr>
        <w:tab/>
      </w:r>
      <w:r>
        <w:rPr>
          <w:rFonts w:ascii="Arial"/>
          <w:sz w:val="24"/>
        </w:rPr>
        <w:t>Proposed</w:t>
      </w:r>
      <w:r>
        <w:rPr>
          <w:rFonts w:ascii="Arial"/>
          <w:spacing w:val="-3"/>
          <w:sz w:val="24"/>
        </w:rPr>
        <w:t> </w:t>
      </w:r>
      <w:r>
        <w:rPr>
          <w:rFonts w:ascii="Arial"/>
          <w:spacing w:val="-2"/>
          <w:sz w:val="24"/>
        </w:rPr>
        <w:t>regulations</w:t>
      </w:r>
    </w:p>
    <w:p>
      <w:pPr>
        <w:spacing w:after="0"/>
        <w:jc w:val="left"/>
        <w:rPr>
          <w:rFonts w:ascii="Arial"/>
          <w:sz w:val="24"/>
        </w:rPr>
        <w:sectPr>
          <w:type w:val="continuous"/>
          <w:pgSz w:w="12240" w:h="15840"/>
          <w:pgMar w:top="1360" w:bottom="280" w:left="800" w:right="1020"/>
        </w:sectPr>
      </w:pPr>
    </w:p>
    <w:p>
      <w:pPr>
        <w:pStyle w:val="Heading1"/>
        <w:spacing w:before="80"/>
        <w:ind w:left="3407"/>
      </w:pPr>
      <w:bookmarkStart w:name="CHAPTER 6C9-8" w:id="1"/>
      <w:bookmarkEnd w:id="1"/>
      <w:r>
        <w:rPr>
          <w:b w:val="0"/>
        </w:rPr>
      </w:r>
      <w:r>
        <w:rPr>
          <w:w w:val="95"/>
        </w:rPr>
        <w:t>CHAPTER</w:t>
      </w:r>
      <w:r>
        <w:rPr>
          <w:spacing w:val="47"/>
        </w:rPr>
        <w:t> </w:t>
      </w:r>
      <w:r>
        <w:rPr>
          <w:w w:val="95"/>
        </w:rPr>
        <w:t>6C9-</w:t>
      </w:r>
      <w:r>
        <w:rPr>
          <w:spacing w:val="-10"/>
          <w:w w:val="95"/>
        </w:rPr>
        <w:t>8</w:t>
      </w:r>
    </w:p>
    <w:p>
      <w:pPr>
        <w:spacing w:before="0"/>
        <w:ind w:left="3407" w:right="0" w:firstLine="0"/>
        <w:jc w:val="left"/>
        <w:rPr>
          <w:b/>
          <w:sz w:val="19"/>
        </w:rPr>
      </w:pPr>
      <w:bookmarkStart w:name="Tuition and Fees" w:id="2"/>
      <w:bookmarkEnd w:id="2"/>
      <w:r>
        <w:rPr/>
      </w:r>
      <w:r>
        <w:rPr>
          <w:b/>
          <w:sz w:val="19"/>
        </w:rPr>
        <w:t>Tuition</w:t>
      </w:r>
      <w:r>
        <w:rPr>
          <w:b/>
          <w:spacing w:val="-5"/>
          <w:sz w:val="19"/>
        </w:rPr>
        <w:t> </w:t>
      </w:r>
      <w:r>
        <w:rPr>
          <w:b/>
          <w:sz w:val="19"/>
        </w:rPr>
        <w:t>and</w:t>
      </w:r>
      <w:r>
        <w:rPr>
          <w:b/>
          <w:spacing w:val="-4"/>
          <w:sz w:val="19"/>
        </w:rPr>
        <w:t> Fees</w:t>
      </w:r>
    </w:p>
    <w:p>
      <w:pPr>
        <w:pStyle w:val="BodyText"/>
        <w:spacing w:before="7"/>
        <w:rPr>
          <w:b/>
        </w:rPr>
      </w:pPr>
    </w:p>
    <w:p>
      <w:pPr>
        <w:pStyle w:val="BodyText"/>
        <w:tabs>
          <w:tab w:pos="1530" w:val="left" w:leader="none"/>
        </w:tabs>
        <w:spacing w:line="244" w:lineRule="auto"/>
        <w:ind w:left="366" w:right="6322" w:hanging="1"/>
      </w:pPr>
      <w:r>
        <w:rPr>
          <w:spacing w:val="-2"/>
        </w:rPr>
        <w:t>6C9-8.1001</w:t>
      </w:r>
      <w:r>
        <w:rPr/>
        <w:tab/>
        <w:t>Schedule of Tuition and Fees </w:t>
      </w:r>
      <w:r>
        <w:rPr>
          <w:spacing w:val="-2"/>
        </w:rPr>
        <w:t>6C9-8.1002</w:t>
      </w:r>
      <w:r>
        <w:rPr/>
        <w:tab/>
        <w:t>Special</w:t>
      </w:r>
      <w:r>
        <w:rPr>
          <w:spacing w:val="-10"/>
        </w:rPr>
        <w:t> </w:t>
      </w:r>
      <w:r>
        <w:rPr/>
        <w:t>Fees,</w:t>
      </w:r>
      <w:r>
        <w:rPr>
          <w:spacing w:val="-9"/>
        </w:rPr>
        <w:t> </w:t>
      </w:r>
      <w:r>
        <w:rPr/>
        <w:t>Fines</w:t>
      </w:r>
      <w:r>
        <w:rPr>
          <w:spacing w:val="-9"/>
        </w:rPr>
        <w:t> </w:t>
      </w:r>
      <w:r>
        <w:rPr/>
        <w:t>and</w:t>
      </w:r>
      <w:r>
        <w:rPr>
          <w:spacing w:val="-9"/>
        </w:rPr>
        <w:t> </w:t>
      </w:r>
      <w:r>
        <w:rPr/>
        <w:t>Penalties. </w:t>
      </w:r>
      <w:r>
        <w:rPr>
          <w:spacing w:val="-2"/>
        </w:rPr>
        <w:t>6C9-8.1003</w:t>
      </w:r>
      <w:r>
        <w:rPr/>
        <w:tab/>
        <w:t>Payment of Tuition and</w:t>
      </w:r>
      <w:r>
        <w:rPr>
          <w:spacing w:val="40"/>
        </w:rPr>
        <w:t> </w:t>
      </w:r>
      <w:r>
        <w:rPr/>
        <w:t>Fees.</w:t>
      </w:r>
    </w:p>
    <w:p>
      <w:pPr>
        <w:pStyle w:val="BodyText"/>
        <w:tabs>
          <w:tab w:pos="1530" w:val="left" w:leader="none"/>
        </w:tabs>
        <w:spacing w:line="244" w:lineRule="auto"/>
        <w:ind w:left="366" w:right="6405" w:hanging="1"/>
      </w:pPr>
      <w:r>
        <w:rPr>
          <w:spacing w:val="-2"/>
        </w:rPr>
        <w:t>6C9-8.1004</w:t>
      </w:r>
      <w:r>
        <w:rPr/>
        <w:tab/>
        <w:t>Fee</w:t>
      </w:r>
      <w:r>
        <w:rPr>
          <w:spacing w:val="-12"/>
        </w:rPr>
        <w:t> </w:t>
      </w:r>
      <w:r>
        <w:rPr/>
        <w:t>Refund/Release</w:t>
      </w:r>
      <w:r>
        <w:rPr>
          <w:spacing w:val="-12"/>
        </w:rPr>
        <w:t> </w:t>
      </w:r>
      <w:r>
        <w:rPr/>
        <w:t>of</w:t>
      </w:r>
      <w:r>
        <w:rPr>
          <w:spacing w:val="-12"/>
        </w:rPr>
        <w:t> </w:t>
      </w:r>
      <w:r>
        <w:rPr/>
        <w:t>Liability. </w:t>
      </w:r>
      <w:r>
        <w:rPr>
          <w:spacing w:val="-2"/>
        </w:rPr>
        <w:t>6C9-8.1005</w:t>
      </w:r>
      <w:r>
        <w:rPr/>
        <w:tab/>
      </w:r>
      <w:r>
        <w:rPr>
          <w:spacing w:val="-46"/>
        </w:rPr>
        <w:t> </w:t>
      </w:r>
      <w:r>
        <w:rPr/>
        <w:t>Deferred Payment of Fees.</w:t>
      </w:r>
    </w:p>
    <w:p>
      <w:pPr>
        <w:pStyle w:val="BodyText"/>
        <w:tabs>
          <w:tab w:pos="1531" w:val="left" w:leader="none"/>
        </w:tabs>
        <w:ind w:left="367"/>
      </w:pPr>
      <w:r>
        <w:rPr>
          <w:w w:val="95"/>
        </w:rPr>
        <w:t>6C9-</w:t>
      </w:r>
      <w:r>
        <w:rPr>
          <w:spacing w:val="-2"/>
        </w:rPr>
        <w:t>8.1006</w:t>
      </w:r>
      <w:r>
        <w:rPr/>
        <w:tab/>
        <w:t>Waiver</w:t>
      </w:r>
      <w:r>
        <w:rPr>
          <w:spacing w:val="-5"/>
        </w:rPr>
        <w:t> </w:t>
      </w:r>
      <w:r>
        <w:rPr/>
        <w:t>of</w:t>
      </w:r>
      <w:r>
        <w:rPr>
          <w:spacing w:val="-4"/>
        </w:rPr>
        <w:t> </w:t>
      </w:r>
      <w:r>
        <w:rPr/>
        <w:t>Student</w:t>
      </w:r>
      <w:r>
        <w:rPr>
          <w:spacing w:val="36"/>
        </w:rPr>
        <w:t> </w:t>
      </w:r>
      <w:r>
        <w:rPr>
          <w:spacing w:val="-2"/>
        </w:rPr>
        <w:t>Tuition.</w:t>
      </w:r>
    </w:p>
    <w:p>
      <w:pPr>
        <w:pStyle w:val="BodyText"/>
        <w:rPr>
          <w:sz w:val="20"/>
        </w:rPr>
      </w:pPr>
    </w:p>
    <w:p>
      <w:pPr>
        <w:pStyle w:val="BodyText"/>
        <w:spacing w:before="6"/>
      </w:pPr>
    </w:p>
    <w:p>
      <w:pPr>
        <w:pStyle w:val="Heading1"/>
        <w:spacing w:before="1"/>
      </w:pPr>
      <w:bookmarkStart w:name="6C9-8.1001 Schedule of Tuition and Fees." w:id="3"/>
      <w:bookmarkEnd w:id="3"/>
      <w:r>
        <w:rPr>
          <w:b w:val="0"/>
        </w:rPr>
      </w:r>
      <w:r>
        <w:rPr/>
        <w:t>6C9-8.1001</w:t>
      </w:r>
      <w:r>
        <w:rPr>
          <w:spacing w:val="-6"/>
        </w:rPr>
        <w:t> </w:t>
      </w:r>
      <w:r>
        <w:rPr/>
        <w:t>Schedule</w:t>
      </w:r>
      <w:r>
        <w:rPr>
          <w:spacing w:val="-6"/>
        </w:rPr>
        <w:t> </w:t>
      </w:r>
      <w:r>
        <w:rPr/>
        <w:t>of</w:t>
      </w:r>
      <w:r>
        <w:rPr>
          <w:spacing w:val="-8"/>
        </w:rPr>
        <w:t> </w:t>
      </w:r>
      <w:r>
        <w:rPr/>
        <w:t>Tuition</w:t>
      </w:r>
      <w:r>
        <w:rPr>
          <w:spacing w:val="-6"/>
        </w:rPr>
        <w:t> </w:t>
      </w:r>
      <w:r>
        <w:rPr/>
        <w:t>and</w:t>
      </w:r>
      <w:r>
        <w:rPr>
          <w:spacing w:val="-7"/>
        </w:rPr>
        <w:t> </w:t>
      </w:r>
      <w:r>
        <w:rPr>
          <w:spacing w:val="-2"/>
        </w:rPr>
        <w:t>Fees.</w:t>
      </w:r>
    </w:p>
    <w:p>
      <w:pPr>
        <w:pStyle w:val="BodyText"/>
        <w:spacing w:before="7"/>
        <w:rPr>
          <w:b/>
        </w:rPr>
      </w:pPr>
    </w:p>
    <w:p>
      <w:pPr>
        <w:pStyle w:val="ListParagraph"/>
        <w:numPr>
          <w:ilvl w:val="0"/>
          <w:numId w:val="1"/>
        </w:numPr>
        <w:tabs>
          <w:tab w:pos="1226" w:val="left" w:leader="none"/>
        </w:tabs>
        <w:spacing w:line="489" w:lineRule="auto" w:before="0" w:after="0"/>
        <w:ind w:left="366" w:right="2663" w:firstLine="580"/>
        <w:jc w:val="left"/>
        <w:rPr>
          <w:sz w:val="19"/>
        </w:rPr>
      </w:pPr>
      <w:r>
        <w:rPr>
          <w:sz w:val="19"/>
        </w:rPr>
        <w:t>Tuition shall be defined as fees assessed to a student for enrollment in credit courses at the University of North Florida, in accordance with law, rules and policies of the </w:t>
      </w:r>
      <w:r>
        <w:rPr>
          <w:strike/>
          <w:color w:val="C00000"/>
          <w:sz w:val="19"/>
        </w:rPr>
        <w:t>State</w:t>
      </w:r>
      <w:r>
        <w:rPr>
          <w:strike w:val="0"/>
          <w:color w:val="C00000"/>
          <w:sz w:val="19"/>
        </w:rPr>
        <w:t> </w:t>
      </w:r>
      <w:r>
        <w:rPr>
          <w:strike w:val="0"/>
          <w:sz w:val="19"/>
        </w:rPr>
        <w:t>Board</w:t>
      </w:r>
    </w:p>
    <w:p>
      <w:pPr>
        <w:pStyle w:val="BodyText"/>
        <w:spacing w:line="215" w:lineRule="exact"/>
        <w:ind w:left="366"/>
      </w:pPr>
      <w:r>
        <w:rPr/>
        <w:t>of</w:t>
      </w:r>
      <w:r>
        <w:rPr>
          <w:strike/>
          <w:color w:val="C00000"/>
          <w:spacing w:val="-6"/>
        </w:rPr>
        <w:t> </w:t>
      </w:r>
      <w:r>
        <w:rPr>
          <w:strike/>
          <w:color w:val="C00000"/>
        </w:rPr>
        <w:t>Education</w:t>
      </w:r>
      <w:r>
        <w:rPr>
          <w:strike w:val="0"/>
          <w:color w:val="C00000"/>
          <w:spacing w:val="-6"/>
        </w:rPr>
        <w:t> </w:t>
      </w:r>
      <w:r>
        <w:rPr>
          <w:strike w:val="0"/>
          <w:color w:val="C00000"/>
        </w:rPr>
        <w:t>Governors</w:t>
      </w:r>
      <w:r>
        <w:rPr>
          <w:strike w:val="0"/>
          <w:color w:val="C00000"/>
          <w:spacing w:val="-5"/>
        </w:rPr>
        <w:t> </w:t>
      </w:r>
      <w:r>
        <w:rPr>
          <w:strike w:val="0"/>
        </w:rPr>
        <w:t>and</w:t>
      </w:r>
      <w:r>
        <w:rPr>
          <w:strike w:val="0"/>
          <w:spacing w:val="-4"/>
        </w:rPr>
        <w:t> </w:t>
      </w:r>
      <w:r>
        <w:rPr>
          <w:strike w:val="0"/>
        </w:rPr>
        <w:t>the</w:t>
      </w:r>
      <w:r>
        <w:rPr>
          <w:strike w:val="0"/>
          <w:spacing w:val="-9"/>
        </w:rPr>
        <w:t> </w:t>
      </w:r>
      <w:r>
        <w:rPr>
          <w:strike w:val="0"/>
        </w:rPr>
        <w:t>University</w:t>
      </w:r>
      <w:r>
        <w:rPr>
          <w:strike w:val="0"/>
          <w:spacing w:val="-6"/>
        </w:rPr>
        <w:t> </w:t>
      </w:r>
      <w:r>
        <w:rPr>
          <w:strike w:val="0"/>
        </w:rPr>
        <w:t>of</w:t>
      </w:r>
      <w:r>
        <w:rPr>
          <w:strike w:val="0"/>
          <w:spacing w:val="-6"/>
        </w:rPr>
        <w:t> </w:t>
      </w:r>
      <w:r>
        <w:rPr>
          <w:strike w:val="0"/>
        </w:rPr>
        <w:t>North</w:t>
      </w:r>
      <w:r>
        <w:rPr>
          <w:strike w:val="0"/>
          <w:spacing w:val="-5"/>
        </w:rPr>
        <w:t> </w:t>
      </w:r>
      <w:r>
        <w:rPr>
          <w:strike w:val="0"/>
        </w:rPr>
        <w:t>Florida</w:t>
      </w:r>
      <w:r>
        <w:rPr>
          <w:strike w:val="0"/>
          <w:spacing w:val="-7"/>
        </w:rPr>
        <w:t> </w:t>
      </w:r>
      <w:r>
        <w:rPr>
          <w:strike w:val="0"/>
          <w:color w:val="C00000"/>
        </w:rPr>
        <w:t>Board</w:t>
      </w:r>
      <w:r>
        <w:rPr>
          <w:strike w:val="0"/>
          <w:color w:val="C00000"/>
          <w:spacing w:val="-5"/>
        </w:rPr>
        <w:t> </w:t>
      </w:r>
      <w:r>
        <w:rPr>
          <w:strike w:val="0"/>
          <w:color w:val="C00000"/>
        </w:rPr>
        <w:t>of</w:t>
      </w:r>
      <w:r>
        <w:rPr>
          <w:strike w:val="0"/>
          <w:color w:val="C00000"/>
          <w:spacing w:val="-6"/>
        </w:rPr>
        <w:t> </w:t>
      </w:r>
      <w:r>
        <w:rPr>
          <w:strike w:val="0"/>
          <w:color w:val="C00000"/>
        </w:rPr>
        <w:t>Trustees</w:t>
      </w:r>
      <w:r>
        <w:rPr>
          <w:strike w:val="0"/>
        </w:rPr>
        <w:t>.</w:t>
      </w:r>
      <w:r>
        <w:rPr>
          <w:strike w:val="0"/>
          <w:spacing w:val="-5"/>
        </w:rPr>
        <w:t> </w:t>
      </w:r>
      <w:r>
        <w:rPr>
          <w:strike w:val="0"/>
        </w:rPr>
        <w:t>Tuition</w:t>
      </w:r>
      <w:r>
        <w:rPr>
          <w:strike w:val="0"/>
          <w:spacing w:val="-7"/>
        </w:rPr>
        <w:t> </w:t>
      </w:r>
      <w:r>
        <w:rPr>
          <w:strike w:val="0"/>
          <w:spacing w:val="-2"/>
        </w:rPr>
        <w:t>consists</w:t>
      </w:r>
    </w:p>
    <w:p>
      <w:pPr>
        <w:pStyle w:val="BodyText"/>
        <w:spacing w:before="3"/>
        <w:rPr>
          <w:sz w:val="12"/>
        </w:rPr>
      </w:pPr>
    </w:p>
    <w:p>
      <w:pPr>
        <w:pStyle w:val="BodyText"/>
        <w:spacing w:before="91"/>
        <w:ind w:left="366"/>
      </w:pPr>
      <w:r>
        <w:rPr/>
        <w:t>of</w:t>
      </w:r>
      <w:r>
        <w:rPr>
          <w:spacing w:val="-6"/>
        </w:rPr>
        <w:t> </w:t>
      </w:r>
      <w:r>
        <w:rPr/>
        <w:t>the</w:t>
      </w:r>
      <w:r>
        <w:rPr>
          <w:spacing w:val="-5"/>
        </w:rPr>
        <w:t> </w:t>
      </w:r>
      <w:r>
        <w:rPr/>
        <w:t>following</w:t>
      </w:r>
      <w:r>
        <w:rPr>
          <w:spacing w:val="-4"/>
        </w:rPr>
        <w:t> </w:t>
      </w:r>
      <w:r>
        <w:rPr/>
        <w:t>fees,</w:t>
      </w:r>
      <w:r>
        <w:rPr>
          <w:spacing w:val="-4"/>
        </w:rPr>
        <w:t> </w:t>
      </w:r>
      <w:r>
        <w:rPr/>
        <w:t>depending</w:t>
      </w:r>
      <w:r>
        <w:rPr>
          <w:spacing w:val="-4"/>
        </w:rPr>
        <w:t> </w:t>
      </w:r>
      <w:r>
        <w:rPr/>
        <w:t>on</w:t>
      </w:r>
      <w:r>
        <w:rPr>
          <w:spacing w:val="-6"/>
        </w:rPr>
        <w:t> </w:t>
      </w:r>
      <w:r>
        <w:rPr/>
        <w:t>whether</w:t>
      </w:r>
      <w:r>
        <w:rPr>
          <w:spacing w:val="-6"/>
        </w:rPr>
        <w:t> </w:t>
      </w:r>
      <w:r>
        <w:rPr/>
        <w:t>a</w:t>
      </w:r>
      <w:r>
        <w:rPr>
          <w:spacing w:val="-5"/>
        </w:rPr>
        <w:t> </w:t>
      </w:r>
      <w:r>
        <w:rPr/>
        <w:t>student</w:t>
      </w:r>
      <w:r>
        <w:rPr>
          <w:spacing w:val="-5"/>
        </w:rPr>
        <w:t> </w:t>
      </w:r>
      <w:r>
        <w:rPr/>
        <w:t>is</w:t>
      </w:r>
      <w:r>
        <w:rPr>
          <w:spacing w:val="-4"/>
        </w:rPr>
        <w:t> </w:t>
      </w:r>
      <w:r>
        <w:rPr/>
        <w:t>a</w:t>
      </w:r>
      <w:r>
        <w:rPr>
          <w:spacing w:val="-5"/>
        </w:rPr>
        <w:t> </w:t>
      </w:r>
      <w:r>
        <w:rPr/>
        <w:t>resident</w:t>
      </w:r>
      <w:r>
        <w:rPr>
          <w:spacing w:val="-5"/>
        </w:rPr>
        <w:t> </w:t>
      </w:r>
      <w:r>
        <w:rPr/>
        <w:t>or</w:t>
      </w:r>
      <w:r>
        <w:rPr>
          <w:spacing w:val="-6"/>
        </w:rPr>
        <w:t> </w:t>
      </w:r>
      <w:r>
        <w:rPr/>
        <w:t>non-</w:t>
      </w:r>
      <w:r>
        <w:rPr>
          <w:spacing w:val="-2"/>
        </w:rPr>
        <w:t>resident:</w:t>
      </w:r>
    </w:p>
    <w:p>
      <w:pPr>
        <w:pStyle w:val="BodyText"/>
        <w:spacing w:before="10"/>
      </w:pPr>
    </w:p>
    <w:p>
      <w:pPr>
        <w:pStyle w:val="ListParagraph"/>
        <w:numPr>
          <w:ilvl w:val="1"/>
          <w:numId w:val="1"/>
        </w:numPr>
        <w:tabs>
          <w:tab w:pos="1260" w:val="left" w:leader="none"/>
        </w:tabs>
        <w:spacing w:line="489" w:lineRule="auto" w:before="0" w:after="0"/>
        <w:ind w:left="366" w:right="2780" w:firstLine="580"/>
        <w:jc w:val="left"/>
        <w:rPr>
          <w:color w:val="C00000"/>
          <w:sz w:val="19"/>
        </w:rPr>
      </w:pPr>
      <w:r>
        <w:rPr>
          <w:sz w:val="19"/>
        </w:rPr>
        <w:t>Resident</w:t>
      </w:r>
      <w:r>
        <w:rPr>
          <w:spacing w:val="-4"/>
          <w:sz w:val="19"/>
        </w:rPr>
        <w:t> </w:t>
      </w:r>
      <w:r>
        <w:rPr>
          <w:sz w:val="19"/>
        </w:rPr>
        <w:t>tuition,</w:t>
      </w:r>
      <w:r>
        <w:rPr>
          <w:spacing w:val="-3"/>
          <w:sz w:val="19"/>
        </w:rPr>
        <w:t> </w:t>
      </w:r>
      <w:r>
        <w:rPr>
          <w:sz w:val="19"/>
        </w:rPr>
        <w:t>comprised</w:t>
      </w:r>
      <w:r>
        <w:rPr>
          <w:spacing w:val="-5"/>
          <w:sz w:val="19"/>
        </w:rPr>
        <w:t> </w:t>
      </w:r>
      <w:r>
        <w:rPr>
          <w:sz w:val="19"/>
        </w:rPr>
        <w:t>of</w:t>
      </w:r>
      <w:r>
        <w:rPr>
          <w:spacing w:val="-5"/>
          <w:sz w:val="19"/>
        </w:rPr>
        <w:t> </w:t>
      </w:r>
      <w:r>
        <w:rPr>
          <w:sz w:val="19"/>
        </w:rPr>
        <w:t>the</w:t>
      </w:r>
      <w:r>
        <w:rPr>
          <w:spacing w:val="-4"/>
          <w:sz w:val="19"/>
        </w:rPr>
        <w:t> </w:t>
      </w:r>
      <w:r>
        <w:rPr>
          <w:sz w:val="19"/>
        </w:rPr>
        <w:t>following,</w:t>
      </w:r>
      <w:r>
        <w:rPr>
          <w:spacing w:val="-3"/>
          <w:sz w:val="19"/>
        </w:rPr>
        <w:t> </w:t>
      </w:r>
      <w:r>
        <w:rPr>
          <w:sz w:val="19"/>
        </w:rPr>
        <w:t>shall</w:t>
      </w:r>
      <w:r>
        <w:rPr>
          <w:spacing w:val="-4"/>
          <w:sz w:val="19"/>
        </w:rPr>
        <w:t> </w:t>
      </w:r>
      <w:r>
        <w:rPr>
          <w:sz w:val="19"/>
        </w:rPr>
        <w:t>be</w:t>
      </w:r>
      <w:r>
        <w:rPr>
          <w:spacing w:val="-6"/>
          <w:sz w:val="19"/>
        </w:rPr>
        <w:t> </w:t>
      </w:r>
      <w:r>
        <w:rPr>
          <w:sz w:val="19"/>
        </w:rPr>
        <w:t>defined</w:t>
      </w:r>
      <w:r>
        <w:rPr>
          <w:spacing w:val="-3"/>
          <w:sz w:val="19"/>
        </w:rPr>
        <w:t> </w:t>
      </w:r>
      <w:r>
        <w:rPr>
          <w:sz w:val="19"/>
        </w:rPr>
        <w:t>as</w:t>
      </w:r>
      <w:r>
        <w:rPr>
          <w:spacing w:val="-3"/>
          <w:sz w:val="19"/>
        </w:rPr>
        <w:t> </w:t>
      </w:r>
      <w:r>
        <w:rPr>
          <w:sz w:val="19"/>
        </w:rPr>
        <w:t>the</w:t>
      </w:r>
      <w:r>
        <w:rPr>
          <w:spacing w:val="-4"/>
          <w:sz w:val="19"/>
        </w:rPr>
        <w:t> </w:t>
      </w:r>
      <w:r>
        <w:rPr>
          <w:sz w:val="19"/>
        </w:rPr>
        <w:t>fees</w:t>
      </w:r>
      <w:r>
        <w:rPr>
          <w:spacing w:val="-3"/>
          <w:sz w:val="19"/>
        </w:rPr>
        <w:t> </w:t>
      </w:r>
      <w:r>
        <w:rPr>
          <w:sz w:val="19"/>
        </w:rPr>
        <w:t>charged</w:t>
      </w:r>
      <w:r>
        <w:rPr>
          <w:spacing w:val="-3"/>
          <w:sz w:val="19"/>
        </w:rPr>
        <w:t> </w:t>
      </w:r>
      <w:r>
        <w:rPr>
          <w:sz w:val="19"/>
        </w:rPr>
        <w:t>an enrolled student who qualifies as a Florida resident as defined </w:t>
      </w:r>
      <w:r>
        <w:rPr>
          <w:color w:val="C00000"/>
          <w:sz w:val="19"/>
        </w:rPr>
        <w:t>in</w:t>
      </w:r>
      <w:r>
        <w:rPr>
          <w:strike/>
          <w:color w:val="C00000"/>
          <w:sz w:val="19"/>
        </w:rPr>
        <w:t> Rule 6C-7.005, F.A.C</w:t>
      </w:r>
    </w:p>
    <w:p>
      <w:pPr>
        <w:pStyle w:val="BodyText"/>
        <w:spacing w:line="218" w:lineRule="exact"/>
        <w:ind w:left="366"/>
      </w:pPr>
      <w:r>
        <w:rPr>
          <w:color w:val="C00000"/>
        </w:rPr>
        <w:t>applicable</w:t>
      </w:r>
      <w:r>
        <w:rPr>
          <w:color w:val="C00000"/>
          <w:spacing w:val="-6"/>
        </w:rPr>
        <w:t> </w:t>
      </w:r>
      <w:r>
        <w:rPr>
          <w:color w:val="C00000"/>
        </w:rPr>
        <w:t>Florida</w:t>
      </w:r>
      <w:r>
        <w:rPr>
          <w:color w:val="C00000"/>
          <w:spacing w:val="-6"/>
        </w:rPr>
        <w:t> </w:t>
      </w:r>
      <w:r>
        <w:rPr>
          <w:color w:val="C00000"/>
        </w:rPr>
        <w:t>laws</w:t>
      </w:r>
      <w:r>
        <w:rPr>
          <w:color w:val="C00000"/>
          <w:spacing w:val="-4"/>
        </w:rPr>
        <w:t> </w:t>
      </w:r>
      <w:r>
        <w:rPr>
          <w:color w:val="C00000"/>
        </w:rPr>
        <w:t>and</w:t>
      </w:r>
      <w:r>
        <w:rPr>
          <w:color w:val="C00000"/>
          <w:spacing w:val="-5"/>
        </w:rPr>
        <w:t> </w:t>
      </w:r>
      <w:r>
        <w:rPr>
          <w:color w:val="C00000"/>
          <w:spacing w:val="-2"/>
        </w:rPr>
        <w:t>regulations:</w:t>
      </w:r>
    </w:p>
    <w:p>
      <w:pPr>
        <w:pStyle w:val="BodyText"/>
        <w:rPr>
          <w:sz w:val="20"/>
        </w:rPr>
      </w:pPr>
    </w:p>
    <w:p>
      <w:pPr>
        <w:pStyle w:val="ListParagraph"/>
        <w:numPr>
          <w:ilvl w:val="0"/>
          <w:numId w:val="2"/>
        </w:numPr>
        <w:tabs>
          <w:tab w:pos="1530" w:val="left" w:leader="none"/>
          <w:tab w:pos="1531" w:val="left" w:leader="none"/>
        </w:tabs>
        <w:spacing w:line="240" w:lineRule="auto" w:before="0" w:after="0"/>
        <w:ind w:left="1530" w:right="0" w:hanging="584"/>
        <w:jc w:val="left"/>
        <w:rPr>
          <w:sz w:val="19"/>
        </w:rPr>
      </w:pPr>
      <w:r>
        <w:rPr>
          <w:sz w:val="19"/>
        </w:rPr>
        <w:t>Matriculation</w:t>
      </w:r>
      <w:r>
        <w:rPr>
          <w:spacing w:val="-10"/>
          <w:sz w:val="19"/>
        </w:rPr>
        <w:t> </w:t>
      </w:r>
      <w:r>
        <w:rPr>
          <w:spacing w:val="-4"/>
          <w:sz w:val="19"/>
        </w:rPr>
        <w:t>Fee;</w:t>
      </w:r>
    </w:p>
    <w:p>
      <w:pPr>
        <w:pStyle w:val="BodyText"/>
        <w:rPr>
          <w:sz w:val="20"/>
        </w:rPr>
      </w:pPr>
    </w:p>
    <w:p>
      <w:pPr>
        <w:pStyle w:val="ListParagraph"/>
        <w:numPr>
          <w:ilvl w:val="0"/>
          <w:numId w:val="2"/>
        </w:numPr>
        <w:tabs>
          <w:tab w:pos="1530" w:val="left" w:leader="none"/>
          <w:tab w:pos="1531" w:val="left" w:leader="none"/>
        </w:tabs>
        <w:spacing w:line="240" w:lineRule="auto" w:before="1" w:after="0"/>
        <w:ind w:left="1530" w:right="0" w:hanging="584"/>
        <w:jc w:val="left"/>
        <w:rPr>
          <w:sz w:val="19"/>
        </w:rPr>
      </w:pPr>
      <w:r>
        <w:rPr>
          <w:sz w:val="19"/>
        </w:rPr>
        <w:t>Student</w:t>
      </w:r>
      <w:r>
        <w:rPr>
          <w:spacing w:val="-7"/>
          <w:sz w:val="19"/>
        </w:rPr>
        <w:t> </w:t>
      </w:r>
      <w:r>
        <w:rPr>
          <w:sz w:val="19"/>
        </w:rPr>
        <w:t>Financial</w:t>
      </w:r>
      <w:r>
        <w:rPr>
          <w:spacing w:val="-6"/>
          <w:sz w:val="19"/>
        </w:rPr>
        <w:t> </w:t>
      </w:r>
      <w:r>
        <w:rPr>
          <w:sz w:val="19"/>
        </w:rPr>
        <w:t>Aid</w:t>
      </w:r>
      <w:r>
        <w:rPr>
          <w:spacing w:val="-5"/>
          <w:sz w:val="19"/>
        </w:rPr>
        <w:t> </w:t>
      </w:r>
      <w:r>
        <w:rPr>
          <w:spacing w:val="-4"/>
          <w:sz w:val="19"/>
        </w:rPr>
        <w:t>Fee;</w:t>
      </w:r>
    </w:p>
    <w:p>
      <w:pPr>
        <w:pStyle w:val="BodyText"/>
        <w:spacing w:before="9"/>
      </w:pPr>
    </w:p>
    <w:p>
      <w:pPr>
        <w:pStyle w:val="ListParagraph"/>
        <w:numPr>
          <w:ilvl w:val="0"/>
          <w:numId w:val="2"/>
        </w:numPr>
        <w:tabs>
          <w:tab w:pos="1530" w:val="left" w:leader="none"/>
          <w:tab w:pos="1531" w:val="left" w:leader="none"/>
        </w:tabs>
        <w:spacing w:line="240" w:lineRule="auto" w:before="0" w:after="0"/>
        <w:ind w:left="1530" w:right="0" w:hanging="584"/>
        <w:jc w:val="left"/>
        <w:rPr>
          <w:sz w:val="19"/>
        </w:rPr>
      </w:pPr>
      <w:r>
        <w:rPr>
          <w:sz w:val="19"/>
        </w:rPr>
        <w:t>Capital</w:t>
      </w:r>
      <w:r>
        <w:rPr>
          <w:spacing w:val="-8"/>
          <w:sz w:val="19"/>
        </w:rPr>
        <w:t> </w:t>
      </w:r>
      <w:r>
        <w:rPr>
          <w:sz w:val="19"/>
        </w:rPr>
        <w:t>Improvement</w:t>
      </w:r>
      <w:r>
        <w:rPr>
          <w:spacing w:val="-7"/>
          <w:sz w:val="19"/>
        </w:rPr>
        <w:t> </w:t>
      </w:r>
      <w:r>
        <w:rPr>
          <w:sz w:val="19"/>
        </w:rPr>
        <w:t>Trust</w:t>
      </w:r>
      <w:r>
        <w:rPr>
          <w:spacing w:val="-8"/>
          <w:sz w:val="19"/>
        </w:rPr>
        <w:t> </w:t>
      </w:r>
      <w:r>
        <w:rPr>
          <w:sz w:val="19"/>
        </w:rPr>
        <w:t>Fund</w:t>
      </w:r>
      <w:r>
        <w:rPr>
          <w:spacing w:val="-1"/>
          <w:sz w:val="19"/>
        </w:rPr>
        <w:t> </w:t>
      </w:r>
      <w:r>
        <w:rPr>
          <w:spacing w:val="-4"/>
          <w:sz w:val="19"/>
        </w:rPr>
        <w:t>Fee;</w:t>
      </w:r>
    </w:p>
    <w:p>
      <w:pPr>
        <w:pStyle w:val="BodyText"/>
        <w:spacing w:before="9"/>
      </w:pPr>
    </w:p>
    <w:p>
      <w:pPr>
        <w:pStyle w:val="ListParagraph"/>
        <w:numPr>
          <w:ilvl w:val="0"/>
          <w:numId w:val="2"/>
        </w:numPr>
        <w:tabs>
          <w:tab w:pos="1530" w:val="left" w:leader="none"/>
          <w:tab w:pos="1531" w:val="left" w:leader="none"/>
        </w:tabs>
        <w:spacing w:line="240" w:lineRule="auto" w:before="1" w:after="0"/>
        <w:ind w:left="1530" w:right="0" w:hanging="584"/>
        <w:jc w:val="left"/>
        <w:rPr>
          <w:sz w:val="19"/>
        </w:rPr>
      </w:pPr>
      <w:r>
        <w:rPr>
          <w:sz w:val="19"/>
        </w:rPr>
        <w:t>Building</w:t>
      </w:r>
      <w:r>
        <w:rPr>
          <w:spacing w:val="-6"/>
          <w:sz w:val="19"/>
        </w:rPr>
        <w:t> </w:t>
      </w:r>
      <w:r>
        <w:rPr>
          <w:spacing w:val="-4"/>
          <w:sz w:val="19"/>
        </w:rPr>
        <w:t>Fee;</w:t>
      </w:r>
    </w:p>
    <w:p>
      <w:pPr>
        <w:pStyle w:val="BodyText"/>
        <w:spacing w:before="9"/>
      </w:pPr>
    </w:p>
    <w:p>
      <w:pPr>
        <w:pStyle w:val="ListParagraph"/>
        <w:numPr>
          <w:ilvl w:val="0"/>
          <w:numId w:val="2"/>
        </w:numPr>
        <w:tabs>
          <w:tab w:pos="1530" w:val="left" w:leader="none"/>
          <w:tab w:pos="1531" w:val="left" w:leader="none"/>
        </w:tabs>
        <w:spacing w:line="491" w:lineRule="auto" w:before="0" w:after="0"/>
        <w:ind w:left="366" w:right="3240" w:firstLine="580"/>
        <w:jc w:val="left"/>
        <w:rPr>
          <w:color w:val="C00000"/>
          <w:sz w:val="19"/>
        </w:rPr>
      </w:pPr>
      <w:r>
        <w:rPr>
          <w:sz w:val="19"/>
        </w:rPr>
        <w:t>Health</w:t>
      </w:r>
      <w:r>
        <w:rPr>
          <w:spacing w:val="-3"/>
          <w:sz w:val="19"/>
        </w:rPr>
        <w:t> </w:t>
      </w:r>
      <w:r>
        <w:rPr>
          <w:sz w:val="19"/>
        </w:rPr>
        <w:t>Fee</w:t>
      </w:r>
      <w:r>
        <w:rPr>
          <w:spacing w:val="-4"/>
          <w:sz w:val="19"/>
        </w:rPr>
        <w:t> </w:t>
      </w:r>
      <w:r>
        <w:rPr>
          <w:color w:val="C00000"/>
          <w:sz w:val="19"/>
        </w:rPr>
        <w:t>(which</w:t>
      </w:r>
      <w:r>
        <w:rPr>
          <w:color w:val="C00000"/>
          <w:spacing w:val="-3"/>
          <w:sz w:val="19"/>
        </w:rPr>
        <w:t> </w:t>
      </w:r>
      <w:r>
        <w:rPr>
          <w:color w:val="C00000"/>
          <w:sz w:val="19"/>
        </w:rPr>
        <w:t>includes</w:t>
      </w:r>
      <w:r>
        <w:rPr>
          <w:color w:val="C00000"/>
          <w:spacing w:val="-3"/>
          <w:sz w:val="19"/>
        </w:rPr>
        <w:t> </w:t>
      </w:r>
      <w:r>
        <w:rPr>
          <w:color w:val="C00000"/>
          <w:sz w:val="19"/>
        </w:rPr>
        <w:t>the</w:t>
      </w:r>
      <w:r>
        <w:rPr>
          <w:color w:val="C00000"/>
          <w:spacing w:val="-7"/>
          <w:sz w:val="19"/>
        </w:rPr>
        <w:t> </w:t>
      </w:r>
      <w:r>
        <w:rPr>
          <w:color w:val="C00000"/>
          <w:sz w:val="19"/>
        </w:rPr>
        <w:t>Clinic,</w:t>
      </w:r>
      <w:r>
        <w:rPr>
          <w:color w:val="C00000"/>
          <w:spacing w:val="-3"/>
          <w:sz w:val="19"/>
        </w:rPr>
        <w:t> </w:t>
      </w:r>
      <w:r>
        <w:rPr>
          <w:color w:val="C00000"/>
          <w:sz w:val="19"/>
        </w:rPr>
        <w:t>Counseling,</w:t>
      </w:r>
      <w:r>
        <w:rPr>
          <w:color w:val="C00000"/>
          <w:spacing w:val="-6"/>
          <w:sz w:val="19"/>
        </w:rPr>
        <w:t> </w:t>
      </w:r>
      <w:r>
        <w:rPr>
          <w:color w:val="C00000"/>
          <w:sz w:val="19"/>
        </w:rPr>
        <w:t>Wellness</w:t>
      </w:r>
      <w:r>
        <w:rPr>
          <w:color w:val="C00000"/>
          <w:spacing w:val="-6"/>
          <w:sz w:val="19"/>
        </w:rPr>
        <w:t> </w:t>
      </w:r>
      <w:r>
        <w:rPr>
          <w:color w:val="C00000"/>
          <w:sz w:val="19"/>
        </w:rPr>
        <w:t>and</w:t>
      </w:r>
      <w:r>
        <w:rPr>
          <w:color w:val="C00000"/>
          <w:spacing w:val="21"/>
          <w:sz w:val="19"/>
        </w:rPr>
        <w:t> </w:t>
      </w:r>
      <w:r>
        <w:rPr>
          <w:color w:val="C00000"/>
          <w:sz w:val="19"/>
        </w:rPr>
        <w:t>Medical Compliance Fees)</w:t>
      </w:r>
      <w:r>
        <w:rPr>
          <w:sz w:val="19"/>
        </w:rPr>
        <w:t>;</w:t>
      </w:r>
    </w:p>
    <w:p>
      <w:pPr>
        <w:pStyle w:val="ListParagraph"/>
        <w:numPr>
          <w:ilvl w:val="0"/>
          <w:numId w:val="2"/>
        </w:numPr>
        <w:tabs>
          <w:tab w:pos="1530" w:val="left" w:leader="none"/>
          <w:tab w:pos="1531" w:val="left" w:leader="none"/>
        </w:tabs>
        <w:spacing w:line="217" w:lineRule="exact" w:before="0" w:after="0"/>
        <w:ind w:left="1530" w:right="0" w:hanging="584"/>
        <w:jc w:val="left"/>
        <w:rPr>
          <w:sz w:val="19"/>
        </w:rPr>
      </w:pPr>
      <w:r>
        <w:rPr>
          <w:sz w:val="19"/>
        </w:rPr>
        <w:t>Athletic</w:t>
      </w:r>
      <w:r>
        <w:rPr>
          <w:spacing w:val="-7"/>
          <w:sz w:val="19"/>
        </w:rPr>
        <w:t> </w:t>
      </w:r>
      <w:r>
        <w:rPr>
          <w:sz w:val="19"/>
        </w:rPr>
        <w:t>Fee;</w:t>
      </w:r>
      <w:r>
        <w:rPr>
          <w:spacing w:val="-6"/>
          <w:sz w:val="19"/>
        </w:rPr>
        <w:t> </w:t>
      </w:r>
      <w:r>
        <w:rPr>
          <w:color w:val="C00000"/>
          <w:spacing w:val="-5"/>
          <w:sz w:val="19"/>
        </w:rPr>
        <w:t>and</w:t>
      </w:r>
    </w:p>
    <w:p>
      <w:pPr>
        <w:pStyle w:val="BodyText"/>
        <w:spacing w:before="9"/>
      </w:pPr>
    </w:p>
    <w:p>
      <w:pPr>
        <w:pStyle w:val="ListParagraph"/>
        <w:numPr>
          <w:ilvl w:val="0"/>
          <w:numId w:val="2"/>
        </w:numPr>
        <w:tabs>
          <w:tab w:pos="1530" w:val="left" w:leader="none"/>
          <w:tab w:pos="1531" w:val="left" w:leader="none"/>
        </w:tabs>
        <w:spacing w:line="240" w:lineRule="auto" w:before="1" w:after="0"/>
        <w:ind w:left="1530" w:right="0" w:hanging="584"/>
        <w:jc w:val="left"/>
        <w:rPr>
          <w:sz w:val="19"/>
        </w:rPr>
      </w:pPr>
      <w:r>
        <w:rPr>
          <w:sz w:val="19"/>
        </w:rPr>
        <w:t>Activity</w:t>
      </w:r>
      <w:r>
        <w:rPr>
          <w:spacing w:val="-6"/>
          <w:sz w:val="19"/>
        </w:rPr>
        <w:t> </w:t>
      </w:r>
      <w:r>
        <w:rPr>
          <w:sz w:val="19"/>
        </w:rPr>
        <w:t>and</w:t>
      </w:r>
      <w:r>
        <w:rPr>
          <w:spacing w:val="-6"/>
          <w:sz w:val="19"/>
        </w:rPr>
        <w:t> </w:t>
      </w:r>
      <w:r>
        <w:rPr>
          <w:sz w:val="19"/>
        </w:rPr>
        <w:t>Service</w:t>
      </w:r>
      <w:r>
        <w:rPr>
          <w:spacing w:val="-6"/>
          <w:sz w:val="19"/>
        </w:rPr>
        <w:t> </w:t>
      </w:r>
      <w:r>
        <w:rPr>
          <w:spacing w:val="-5"/>
          <w:sz w:val="19"/>
        </w:rPr>
        <w:t>Fee</w:t>
      </w:r>
    </w:p>
    <w:p>
      <w:pPr>
        <w:pStyle w:val="BodyText"/>
        <w:spacing w:before="1"/>
        <w:rPr>
          <w:sz w:val="18"/>
        </w:rPr>
      </w:pPr>
    </w:p>
    <w:p>
      <w:pPr>
        <w:spacing w:before="0"/>
        <w:ind w:left="366" w:right="0" w:firstLine="0"/>
        <w:jc w:val="left"/>
        <w:rPr>
          <w:i/>
          <w:sz w:val="19"/>
        </w:rPr>
      </w:pPr>
      <w:r>
        <w:rPr>
          <w:i/>
          <w:sz w:val="19"/>
        </w:rPr>
        <w:t>Incorporates</w:t>
      </w:r>
      <w:r>
        <w:rPr>
          <w:i/>
          <w:spacing w:val="-9"/>
          <w:sz w:val="19"/>
        </w:rPr>
        <w:t> </w:t>
      </w:r>
      <w:r>
        <w:rPr>
          <w:i/>
          <w:sz w:val="19"/>
        </w:rPr>
        <w:t>all</w:t>
      </w:r>
      <w:r>
        <w:rPr>
          <w:i/>
          <w:spacing w:val="-7"/>
          <w:sz w:val="19"/>
        </w:rPr>
        <w:t> </w:t>
      </w:r>
      <w:r>
        <w:rPr>
          <w:i/>
          <w:sz w:val="19"/>
        </w:rPr>
        <w:t>proposed</w:t>
      </w:r>
      <w:r>
        <w:rPr>
          <w:i/>
          <w:spacing w:val="-8"/>
          <w:sz w:val="19"/>
        </w:rPr>
        <w:t> </w:t>
      </w:r>
      <w:r>
        <w:rPr>
          <w:i/>
          <w:sz w:val="19"/>
        </w:rPr>
        <w:t>revisions</w:t>
      </w:r>
      <w:r>
        <w:rPr>
          <w:i/>
          <w:spacing w:val="-6"/>
          <w:sz w:val="19"/>
        </w:rPr>
        <w:t> </w:t>
      </w:r>
      <w:r>
        <w:rPr>
          <w:i/>
          <w:sz w:val="19"/>
        </w:rPr>
        <w:t>through</w:t>
      </w:r>
      <w:r>
        <w:rPr>
          <w:i/>
          <w:spacing w:val="-8"/>
          <w:sz w:val="19"/>
        </w:rPr>
        <w:t> </w:t>
      </w:r>
      <w:r>
        <w:rPr>
          <w:i/>
          <w:sz w:val="19"/>
        </w:rPr>
        <w:t>Tuesday,</w:t>
      </w:r>
      <w:r>
        <w:rPr>
          <w:i/>
          <w:spacing w:val="-9"/>
          <w:sz w:val="19"/>
        </w:rPr>
        <w:t> </w:t>
      </w:r>
      <w:r>
        <w:rPr>
          <w:i/>
          <w:sz w:val="19"/>
        </w:rPr>
        <w:t>September</w:t>
      </w:r>
      <w:r>
        <w:rPr>
          <w:i/>
          <w:spacing w:val="-6"/>
          <w:sz w:val="19"/>
        </w:rPr>
        <w:t> </w:t>
      </w:r>
      <w:r>
        <w:rPr>
          <w:i/>
          <w:sz w:val="19"/>
        </w:rPr>
        <w:t>13,</w:t>
      </w:r>
      <w:r>
        <w:rPr>
          <w:i/>
          <w:spacing w:val="-8"/>
          <w:sz w:val="19"/>
        </w:rPr>
        <w:t> </w:t>
      </w:r>
      <w:r>
        <w:rPr>
          <w:i/>
          <w:spacing w:val="-2"/>
          <w:sz w:val="19"/>
        </w:rPr>
        <w:t>2005.</w:t>
      </w:r>
    </w:p>
    <w:p>
      <w:pPr>
        <w:pStyle w:val="BodyText"/>
        <w:spacing w:before="11"/>
        <w:rPr>
          <w:i/>
          <w:sz w:val="21"/>
        </w:rPr>
      </w:pPr>
    </w:p>
    <w:p>
      <w:pPr>
        <w:pStyle w:val="ListParagraph"/>
        <w:numPr>
          <w:ilvl w:val="1"/>
          <w:numId w:val="1"/>
        </w:numPr>
        <w:tabs>
          <w:tab w:pos="1530" w:val="left" w:leader="none"/>
          <w:tab w:pos="1531" w:val="left" w:leader="none"/>
        </w:tabs>
        <w:spacing w:line="489" w:lineRule="auto" w:before="0" w:after="0"/>
        <w:ind w:left="366" w:right="2880" w:firstLine="580"/>
        <w:jc w:val="left"/>
        <w:rPr>
          <w:sz w:val="19"/>
        </w:rPr>
      </w:pPr>
      <w:r>
        <w:rPr>
          <w:sz w:val="19"/>
        </w:rPr>
        <w:t>Non-Resident tuition, comprised of the following, shall be defined as the fees charged</w:t>
      </w:r>
      <w:r>
        <w:rPr>
          <w:spacing w:val="-2"/>
          <w:sz w:val="19"/>
        </w:rPr>
        <w:t> </w:t>
      </w:r>
      <w:r>
        <w:rPr>
          <w:sz w:val="19"/>
        </w:rPr>
        <w:t>an</w:t>
      </w:r>
      <w:r>
        <w:rPr>
          <w:spacing w:val="-2"/>
          <w:sz w:val="19"/>
        </w:rPr>
        <w:t> </w:t>
      </w:r>
      <w:r>
        <w:rPr>
          <w:sz w:val="19"/>
        </w:rPr>
        <w:t>enrolled</w:t>
      </w:r>
      <w:r>
        <w:rPr>
          <w:spacing w:val="-2"/>
          <w:sz w:val="19"/>
        </w:rPr>
        <w:t> </w:t>
      </w:r>
      <w:r>
        <w:rPr>
          <w:sz w:val="19"/>
        </w:rPr>
        <w:t>student</w:t>
      </w:r>
      <w:r>
        <w:rPr>
          <w:spacing w:val="-3"/>
          <w:sz w:val="19"/>
        </w:rPr>
        <w:t> </w:t>
      </w:r>
      <w:r>
        <w:rPr>
          <w:sz w:val="19"/>
        </w:rPr>
        <w:t>who</w:t>
      </w:r>
      <w:r>
        <w:rPr>
          <w:spacing w:val="-2"/>
          <w:sz w:val="19"/>
        </w:rPr>
        <w:t> </w:t>
      </w:r>
      <w:r>
        <w:rPr>
          <w:sz w:val="19"/>
        </w:rPr>
        <w:t>does</w:t>
      </w:r>
      <w:r>
        <w:rPr>
          <w:spacing w:val="-5"/>
          <w:sz w:val="19"/>
        </w:rPr>
        <w:t> </w:t>
      </w:r>
      <w:r>
        <w:rPr>
          <w:sz w:val="19"/>
        </w:rPr>
        <w:t>not</w:t>
      </w:r>
      <w:r>
        <w:rPr>
          <w:spacing w:val="-3"/>
          <w:sz w:val="19"/>
        </w:rPr>
        <w:t> </w:t>
      </w:r>
      <w:r>
        <w:rPr>
          <w:sz w:val="19"/>
        </w:rPr>
        <w:t>qualify</w:t>
      </w:r>
      <w:r>
        <w:rPr>
          <w:spacing w:val="-2"/>
          <w:sz w:val="19"/>
        </w:rPr>
        <w:t> </w:t>
      </w:r>
      <w:r>
        <w:rPr>
          <w:sz w:val="19"/>
        </w:rPr>
        <w:t>as</w:t>
      </w:r>
      <w:r>
        <w:rPr>
          <w:spacing w:val="-2"/>
          <w:sz w:val="19"/>
        </w:rPr>
        <w:t> </w:t>
      </w:r>
      <w:r>
        <w:rPr>
          <w:sz w:val="19"/>
        </w:rPr>
        <w:t>a</w:t>
      </w:r>
      <w:r>
        <w:rPr>
          <w:spacing w:val="-3"/>
          <w:sz w:val="19"/>
        </w:rPr>
        <w:t> </w:t>
      </w:r>
      <w:r>
        <w:rPr>
          <w:sz w:val="19"/>
        </w:rPr>
        <w:t>Florida</w:t>
      </w:r>
      <w:r>
        <w:rPr>
          <w:spacing w:val="-6"/>
          <w:sz w:val="19"/>
        </w:rPr>
        <w:t> </w:t>
      </w:r>
      <w:r>
        <w:rPr>
          <w:sz w:val="19"/>
        </w:rPr>
        <w:t>resident</w:t>
      </w:r>
      <w:r>
        <w:rPr>
          <w:spacing w:val="-3"/>
          <w:sz w:val="19"/>
        </w:rPr>
        <w:t> </w:t>
      </w:r>
      <w:r>
        <w:rPr>
          <w:sz w:val="19"/>
        </w:rPr>
        <w:t>as</w:t>
      </w:r>
      <w:r>
        <w:rPr>
          <w:spacing w:val="-5"/>
          <w:sz w:val="19"/>
        </w:rPr>
        <w:t> </w:t>
      </w:r>
      <w:r>
        <w:rPr>
          <w:sz w:val="19"/>
        </w:rPr>
        <w:t>defined</w:t>
      </w:r>
      <w:r>
        <w:rPr>
          <w:spacing w:val="-2"/>
          <w:sz w:val="19"/>
        </w:rPr>
        <w:t> </w:t>
      </w:r>
      <w:r>
        <w:rPr>
          <w:sz w:val="19"/>
        </w:rPr>
        <w:t>in</w:t>
      </w:r>
      <w:r>
        <w:rPr>
          <w:spacing w:val="-4"/>
          <w:sz w:val="19"/>
        </w:rPr>
        <w:t> </w:t>
      </w:r>
      <w:r>
        <w:rPr>
          <w:sz w:val="19"/>
        </w:rPr>
        <w:t>applicable Florida laws and regulations:</w:t>
      </w:r>
    </w:p>
    <w:p>
      <w:pPr>
        <w:pStyle w:val="ListParagraph"/>
        <w:numPr>
          <w:ilvl w:val="2"/>
          <w:numId w:val="1"/>
        </w:numPr>
        <w:tabs>
          <w:tab w:pos="1530" w:val="left" w:leader="none"/>
          <w:tab w:pos="1531" w:val="left" w:leader="none"/>
        </w:tabs>
        <w:spacing w:line="216" w:lineRule="exact" w:before="0" w:after="0"/>
        <w:ind w:left="1530" w:right="0" w:hanging="584"/>
        <w:jc w:val="left"/>
        <w:rPr>
          <w:sz w:val="19"/>
        </w:rPr>
      </w:pPr>
      <w:r>
        <w:rPr>
          <w:sz w:val="19"/>
        </w:rPr>
        <w:t>Matriculation</w:t>
      </w:r>
      <w:r>
        <w:rPr>
          <w:spacing w:val="13"/>
          <w:sz w:val="19"/>
        </w:rPr>
        <w:t> </w:t>
      </w:r>
      <w:r>
        <w:rPr>
          <w:spacing w:val="-4"/>
          <w:sz w:val="19"/>
        </w:rPr>
        <w:t>Fee;</w:t>
      </w:r>
    </w:p>
    <w:p>
      <w:pPr>
        <w:spacing w:after="0" w:line="216" w:lineRule="exact"/>
        <w:jc w:val="left"/>
        <w:rPr>
          <w:sz w:val="19"/>
        </w:rPr>
        <w:sectPr>
          <w:pgSz w:w="12240" w:h="15840"/>
          <w:pgMar w:top="1420" w:bottom="280" w:left="800" w:right="1020"/>
        </w:sectPr>
      </w:pPr>
    </w:p>
    <w:p>
      <w:pPr>
        <w:pStyle w:val="ListParagraph"/>
        <w:numPr>
          <w:ilvl w:val="2"/>
          <w:numId w:val="1"/>
        </w:numPr>
        <w:tabs>
          <w:tab w:pos="1530" w:val="left" w:leader="none"/>
          <w:tab w:pos="1531" w:val="left" w:leader="none"/>
        </w:tabs>
        <w:spacing w:line="240" w:lineRule="auto" w:before="80" w:after="0"/>
        <w:ind w:left="1530" w:right="0" w:hanging="584"/>
        <w:jc w:val="left"/>
        <w:rPr>
          <w:sz w:val="19"/>
        </w:rPr>
      </w:pPr>
      <w:r>
        <w:rPr>
          <w:sz w:val="19"/>
        </w:rPr>
        <w:t>Non-Resident</w:t>
      </w:r>
      <w:r>
        <w:rPr>
          <w:spacing w:val="13"/>
          <w:sz w:val="19"/>
        </w:rPr>
        <w:t> </w:t>
      </w:r>
      <w:r>
        <w:rPr>
          <w:spacing w:val="-4"/>
          <w:sz w:val="19"/>
        </w:rPr>
        <w:t>Fee;</w:t>
      </w:r>
    </w:p>
    <w:p>
      <w:pPr>
        <w:pStyle w:val="BodyText"/>
        <w:spacing w:before="9"/>
      </w:pPr>
    </w:p>
    <w:p>
      <w:pPr>
        <w:pStyle w:val="ListParagraph"/>
        <w:numPr>
          <w:ilvl w:val="2"/>
          <w:numId w:val="1"/>
        </w:numPr>
        <w:tabs>
          <w:tab w:pos="1530" w:val="left" w:leader="none"/>
          <w:tab w:pos="1531" w:val="left" w:leader="none"/>
        </w:tabs>
        <w:spacing w:line="240" w:lineRule="auto" w:before="0" w:after="0"/>
        <w:ind w:left="1530" w:right="0" w:hanging="584"/>
        <w:jc w:val="left"/>
        <w:rPr>
          <w:sz w:val="19"/>
        </w:rPr>
      </w:pPr>
      <w:r>
        <w:rPr>
          <w:sz w:val="19"/>
        </w:rPr>
        <w:t>Student</w:t>
      </w:r>
      <w:r>
        <w:rPr>
          <w:spacing w:val="-7"/>
          <w:sz w:val="19"/>
        </w:rPr>
        <w:t> </w:t>
      </w:r>
      <w:r>
        <w:rPr>
          <w:sz w:val="19"/>
        </w:rPr>
        <w:t>Financial</w:t>
      </w:r>
      <w:r>
        <w:rPr>
          <w:spacing w:val="-6"/>
          <w:sz w:val="19"/>
        </w:rPr>
        <w:t> </w:t>
      </w:r>
      <w:r>
        <w:rPr>
          <w:sz w:val="19"/>
        </w:rPr>
        <w:t>Aid</w:t>
      </w:r>
      <w:r>
        <w:rPr>
          <w:spacing w:val="-5"/>
          <w:sz w:val="19"/>
        </w:rPr>
        <w:t> </w:t>
      </w:r>
      <w:r>
        <w:rPr>
          <w:spacing w:val="-4"/>
          <w:sz w:val="19"/>
        </w:rPr>
        <w:t>Fee;</w:t>
      </w:r>
    </w:p>
    <w:p>
      <w:pPr>
        <w:pStyle w:val="BodyText"/>
        <w:spacing w:before="10"/>
      </w:pPr>
    </w:p>
    <w:p>
      <w:pPr>
        <w:pStyle w:val="ListParagraph"/>
        <w:numPr>
          <w:ilvl w:val="2"/>
          <w:numId w:val="1"/>
        </w:numPr>
        <w:tabs>
          <w:tab w:pos="1530" w:val="left" w:leader="none"/>
          <w:tab w:pos="1531" w:val="left" w:leader="none"/>
        </w:tabs>
        <w:spacing w:line="240" w:lineRule="auto" w:before="0" w:after="0"/>
        <w:ind w:left="1530" w:right="0" w:hanging="584"/>
        <w:jc w:val="left"/>
        <w:rPr>
          <w:sz w:val="19"/>
        </w:rPr>
      </w:pPr>
      <w:r>
        <w:rPr>
          <w:sz w:val="19"/>
        </w:rPr>
        <w:t>Non-Resident</w:t>
      </w:r>
      <w:r>
        <w:rPr>
          <w:spacing w:val="-8"/>
          <w:sz w:val="19"/>
        </w:rPr>
        <w:t> </w:t>
      </w:r>
      <w:r>
        <w:rPr>
          <w:sz w:val="19"/>
        </w:rPr>
        <w:t>Student</w:t>
      </w:r>
      <w:r>
        <w:rPr>
          <w:spacing w:val="-8"/>
          <w:sz w:val="19"/>
        </w:rPr>
        <w:t> </w:t>
      </w:r>
      <w:r>
        <w:rPr>
          <w:sz w:val="19"/>
        </w:rPr>
        <w:t>Financial</w:t>
      </w:r>
      <w:r>
        <w:rPr>
          <w:spacing w:val="-10"/>
          <w:sz w:val="19"/>
        </w:rPr>
        <w:t> </w:t>
      </w:r>
      <w:r>
        <w:rPr>
          <w:sz w:val="19"/>
        </w:rPr>
        <w:t>Aid</w:t>
      </w:r>
      <w:r>
        <w:rPr>
          <w:spacing w:val="-5"/>
          <w:sz w:val="19"/>
        </w:rPr>
        <w:t> </w:t>
      </w:r>
      <w:r>
        <w:rPr>
          <w:spacing w:val="-4"/>
          <w:sz w:val="19"/>
        </w:rPr>
        <w:t>Fee;</w:t>
      </w:r>
    </w:p>
    <w:p>
      <w:pPr>
        <w:pStyle w:val="BodyText"/>
        <w:rPr>
          <w:sz w:val="20"/>
        </w:rPr>
      </w:pPr>
    </w:p>
    <w:p>
      <w:pPr>
        <w:pStyle w:val="ListParagraph"/>
        <w:numPr>
          <w:ilvl w:val="2"/>
          <w:numId w:val="1"/>
        </w:numPr>
        <w:tabs>
          <w:tab w:pos="1530" w:val="left" w:leader="none"/>
          <w:tab w:pos="1531" w:val="left" w:leader="none"/>
        </w:tabs>
        <w:spacing w:line="240" w:lineRule="auto" w:before="0" w:after="0"/>
        <w:ind w:left="1530" w:right="0" w:hanging="584"/>
        <w:jc w:val="left"/>
        <w:rPr>
          <w:sz w:val="19"/>
        </w:rPr>
      </w:pPr>
      <w:r>
        <w:rPr>
          <w:sz w:val="19"/>
        </w:rPr>
        <w:t>Capital</w:t>
      </w:r>
      <w:r>
        <w:rPr>
          <w:spacing w:val="-8"/>
          <w:sz w:val="19"/>
        </w:rPr>
        <w:t> </w:t>
      </w:r>
      <w:r>
        <w:rPr>
          <w:sz w:val="19"/>
        </w:rPr>
        <w:t>Improvement</w:t>
      </w:r>
      <w:r>
        <w:rPr>
          <w:spacing w:val="-7"/>
          <w:sz w:val="19"/>
        </w:rPr>
        <w:t> </w:t>
      </w:r>
      <w:r>
        <w:rPr>
          <w:sz w:val="19"/>
        </w:rPr>
        <w:t>Trust</w:t>
      </w:r>
      <w:r>
        <w:rPr>
          <w:spacing w:val="-8"/>
          <w:sz w:val="19"/>
        </w:rPr>
        <w:t> </w:t>
      </w:r>
      <w:r>
        <w:rPr>
          <w:sz w:val="19"/>
        </w:rPr>
        <w:t>Fund</w:t>
      </w:r>
      <w:r>
        <w:rPr>
          <w:spacing w:val="-1"/>
          <w:sz w:val="19"/>
        </w:rPr>
        <w:t> </w:t>
      </w:r>
      <w:r>
        <w:rPr>
          <w:spacing w:val="-4"/>
          <w:sz w:val="19"/>
        </w:rPr>
        <w:t>Fee;</w:t>
      </w:r>
    </w:p>
    <w:p>
      <w:pPr>
        <w:pStyle w:val="BodyText"/>
        <w:spacing w:before="10"/>
      </w:pPr>
    </w:p>
    <w:p>
      <w:pPr>
        <w:pStyle w:val="ListParagraph"/>
        <w:numPr>
          <w:ilvl w:val="2"/>
          <w:numId w:val="1"/>
        </w:numPr>
        <w:tabs>
          <w:tab w:pos="1530" w:val="left" w:leader="none"/>
          <w:tab w:pos="1531" w:val="left" w:leader="none"/>
        </w:tabs>
        <w:spacing w:line="240" w:lineRule="auto" w:before="0" w:after="0"/>
        <w:ind w:left="1530" w:right="0" w:hanging="584"/>
        <w:jc w:val="left"/>
        <w:rPr>
          <w:sz w:val="19"/>
        </w:rPr>
      </w:pPr>
      <w:r>
        <w:rPr>
          <w:sz w:val="19"/>
        </w:rPr>
        <w:t>Building</w:t>
      </w:r>
      <w:r>
        <w:rPr>
          <w:spacing w:val="-6"/>
          <w:sz w:val="19"/>
        </w:rPr>
        <w:t> </w:t>
      </w:r>
      <w:r>
        <w:rPr>
          <w:spacing w:val="-4"/>
          <w:sz w:val="19"/>
        </w:rPr>
        <w:t>Fee;</w:t>
      </w:r>
    </w:p>
    <w:p>
      <w:pPr>
        <w:pStyle w:val="BodyText"/>
        <w:spacing w:before="9"/>
      </w:pPr>
    </w:p>
    <w:p>
      <w:pPr>
        <w:pStyle w:val="ListParagraph"/>
        <w:numPr>
          <w:ilvl w:val="2"/>
          <w:numId w:val="1"/>
        </w:numPr>
        <w:tabs>
          <w:tab w:pos="1530" w:val="left" w:leader="none"/>
          <w:tab w:pos="1531" w:val="left" w:leader="none"/>
        </w:tabs>
        <w:spacing w:line="491" w:lineRule="auto" w:before="0" w:after="0"/>
        <w:ind w:left="366" w:right="3240" w:firstLine="580"/>
        <w:jc w:val="left"/>
        <w:rPr>
          <w:color w:val="C00000"/>
          <w:sz w:val="19"/>
        </w:rPr>
      </w:pPr>
      <w:r>
        <w:rPr>
          <w:sz w:val="19"/>
        </w:rPr>
        <w:t>Health</w:t>
      </w:r>
      <w:r>
        <w:rPr>
          <w:spacing w:val="-3"/>
          <w:sz w:val="19"/>
        </w:rPr>
        <w:t> </w:t>
      </w:r>
      <w:r>
        <w:rPr>
          <w:sz w:val="19"/>
        </w:rPr>
        <w:t>Fee</w:t>
      </w:r>
      <w:r>
        <w:rPr>
          <w:spacing w:val="-4"/>
          <w:sz w:val="19"/>
        </w:rPr>
        <w:t> </w:t>
      </w:r>
      <w:r>
        <w:rPr>
          <w:color w:val="C00000"/>
          <w:sz w:val="19"/>
        </w:rPr>
        <w:t>(which</w:t>
      </w:r>
      <w:r>
        <w:rPr>
          <w:color w:val="C00000"/>
          <w:spacing w:val="-3"/>
          <w:sz w:val="19"/>
        </w:rPr>
        <w:t> </w:t>
      </w:r>
      <w:r>
        <w:rPr>
          <w:color w:val="C00000"/>
          <w:sz w:val="19"/>
        </w:rPr>
        <w:t>includes</w:t>
      </w:r>
      <w:r>
        <w:rPr>
          <w:color w:val="C00000"/>
          <w:spacing w:val="-3"/>
          <w:sz w:val="19"/>
        </w:rPr>
        <w:t> </w:t>
      </w:r>
      <w:r>
        <w:rPr>
          <w:color w:val="C00000"/>
          <w:sz w:val="19"/>
        </w:rPr>
        <w:t>the</w:t>
      </w:r>
      <w:r>
        <w:rPr>
          <w:color w:val="C00000"/>
          <w:spacing w:val="-7"/>
          <w:sz w:val="19"/>
        </w:rPr>
        <w:t> </w:t>
      </w:r>
      <w:r>
        <w:rPr>
          <w:color w:val="C00000"/>
          <w:sz w:val="19"/>
        </w:rPr>
        <w:t>Clinic,</w:t>
      </w:r>
      <w:r>
        <w:rPr>
          <w:color w:val="C00000"/>
          <w:spacing w:val="-3"/>
          <w:sz w:val="19"/>
        </w:rPr>
        <w:t> </w:t>
      </w:r>
      <w:r>
        <w:rPr>
          <w:color w:val="C00000"/>
          <w:sz w:val="19"/>
        </w:rPr>
        <w:t>Counseling,</w:t>
      </w:r>
      <w:r>
        <w:rPr>
          <w:color w:val="C00000"/>
          <w:spacing w:val="-6"/>
          <w:sz w:val="19"/>
        </w:rPr>
        <w:t> </w:t>
      </w:r>
      <w:r>
        <w:rPr>
          <w:color w:val="C00000"/>
          <w:sz w:val="19"/>
        </w:rPr>
        <w:t>Wellness</w:t>
      </w:r>
      <w:r>
        <w:rPr>
          <w:color w:val="C00000"/>
          <w:spacing w:val="-6"/>
          <w:sz w:val="19"/>
        </w:rPr>
        <w:t> </w:t>
      </w:r>
      <w:r>
        <w:rPr>
          <w:color w:val="C00000"/>
          <w:sz w:val="19"/>
        </w:rPr>
        <w:t>and</w:t>
      </w:r>
      <w:r>
        <w:rPr>
          <w:color w:val="C00000"/>
          <w:spacing w:val="21"/>
          <w:sz w:val="19"/>
        </w:rPr>
        <w:t> </w:t>
      </w:r>
      <w:r>
        <w:rPr>
          <w:color w:val="C00000"/>
          <w:sz w:val="19"/>
        </w:rPr>
        <w:t>Medical Compliance Fees);</w:t>
      </w:r>
    </w:p>
    <w:p>
      <w:pPr>
        <w:pStyle w:val="ListParagraph"/>
        <w:numPr>
          <w:ilvl w:val="2"/>
          <w:numId w:val="1"/>
        </w:numPr>
        <w:tabs>
          <w:tab w:pos="1530" w:val="left" w:leader="none"/>
          <w:tab w:pos="1531" w:val="left" w:leader="none"/>
        </w:tabs>
        <w:spacing w:line="217" w:lineRule="exact" w:before="0" w:after="0"/>
        <w:ind w:left="1530" w:right="0" w:hanging="584"/>
        <w:jc w:val="left"/>
        <w:rPr>
          <w:sz w:val="19"/>
        </w:rPr>
      </w:pPr>
      <w:r>
        <w:rPr>
          <w:sz w:val="19"/>
        </w:rPr>
        <w:t>Athletic</w:t>
      </w:r>
      <w:r>
        <w:rPr>
          <w:spacing w:val="-7"/>
          <w:sz w:val="19"/>
        </w:rPr>
        <w:t> </w:t>
      </w:r>
      <w:r>
        <w:rPr>
          <w:sz w:val="19"/>
        </w:rPr>
        <w:t>Fee;</w:t>
      </w:r>
      <w:r>
        <w:rPr>
          <w:spacing w:val="-6"/>
          <w:sz w:val="19"/>
        </w:rPr>
        <w:t> </w:t>
      </w:r>
      <w:r>
        <w:rPr>
          <w:spacing w:val="-5"/>
          <w:sz w:val="19"/>
        </w:rPr>
        <w:t>and</w:t>
      </w:r>
    </w:p>
    <w:p>
      <w:pPr>
        <w:pStyle w:val="BodyText"/>
        <w:spacing w:before="10"/>
      </w:pPr>
    </w:p>
    <w:p>
      <w:pPr>
        <w:pStyle w:val="ListParagraph"/>
        <w:numPr>
          <w:ilvl w:val="2"/>
          <w:numId w:val="1"/>
        </w:numPr>
        <w:tabs>
          <w:tab w:pos="1530" w:val="left" w:leader="none"/>
          <w:tab w:pos="1531" w:val="left" w:leader="none"/>
        </w:tabs>
        <w:spacing w:line="240" w:lineRule="auto" w:before="0" w:after="0"/>
        <w:ind w:left="1530" w:right="0" w:hanging="584"/>
        <w:jc w:val="left"/>
        <w:rPr>
          <w:sz w:val="19"/>
        </w:rPr>
      </w:pPr>
      <w:r>
        <w:rPr>
          <w:sz w:val="19"/>
        </w:rPr>
        <w:t>Activity</w:t>
      </w:r>
      <w:r>
        <w:rPr>
          <w:spacing w:val="-6"/>
          <w:sz w:val="19"/>
        </w:rPr>
        <w:t> </w:t>
      </w:r>
      <w:r>
        <w:rPr>
          <w:sz w:val="19"/>
        </w:rPr>
        <w:t>and</w:t>
      </w:r>
      <w:r>
        <w:rPr>
          <w:spacing w:val="-6"/>
          <w:sz w:val="19"/>
        </w:rPr>
        <w:t> </w:t>
      </w:r>
      <w:r>
        <w:rPr>
          <w:sz w:val="19"/>
        </w:rPr>
        <w:t>Service</w:t>
      </w:r>
      <w:r>
        <w:rPr>
          <w:spacing w:val="-6"/>
          <w:sz w:val="19"/>
        </w:rPr>
        <w:t> </w:t>
      </w:r>
      <w:r>
        <w:rPr>
          <w:spacing w:val="-5"/>
          <w:sz w:val="19"/>
        </w:rPr>
        <w:t>Fee</w:t>
      </w:r>
    </w:p>
    <w:p>
      <w:pPr>
        <w:pStyle w:val="BodyText"/>
        <w:rPr>
          <w:sz w:val="20"/>
        </w:rPr>
      </w:pPr>
    </w:p>
    <w:p>
      <w:pPr>
        <w:pStyle w:val="ListParagraph"/>
        <w:numPr>
          <w:ilvl w:val="0"/>
          <w:numId w:val="1"/>
        </w:numPr>
        <w:tabs>
          <w:tab w:pos="1530" w:val="left" w:leader="none"/>
          <w:tab w:pos="1531" w:val="left" w:leader="none"/>
        </w:tabs>
        <w:spacing w:line="489" w:lineRule="auto" w:before="0" w:after="0"/>
        <w:ind w:left="366" w:right="2579" w:firstLine="580"/>
        <w:jc w:val="left"/>
        <w:rPr>
          <w:sz w:val="19"/>
        </w:rPr>
      </w:pPr>
      <w:r>
        <w:rPr>
          <w:sz w:val="19"/>
        </w:rPr>
        <w:t>The following tuition shall be levied and collected effective for the Fall 2005 semester for each student regularly enrolled, unless provided otherwise by law or in this chapter.</w:t>
      </w:r>
    </w:p>
    <w:p>
      <w:pPr>
        <w:pStyle w:val="ListParagraph"/>
        <w:numPr>
          <w:ilvl w:val="1"/>
          <w:numId w:val="1"/>
        </w:numPr>
        <w:tabs>
          <w:tab w:pos="1529" w:val="left" w:leader="none"/>
          <w:tab w:pos="1530" w:val="left" w:leader="none"/>
        </w:tabs>
        <w:spacing w:line="240" w:lineRule="auto" w:before="2" w:after="0"/>
        <w:ind w:left="1529" w:right="0" w:hanging="584"/>
        <w:jc w:val="left"/>
        <w:rPr>
          <w:sz w:val="19"/>
        </w:rPr>
      </w:pPr>
      <w:r>
        <w:rPr>
          <w:sz w:val="19"/>
        </w:rPr>
        <w:t>Students</w:t>
      </w:r>
      <w:r>
        <w:rPr>
          <w:spacing w:val="-5"/>
          <w:sz w:val="19"/>
        </w:rPr>
        <w:t> </w:t>
      </w:r>
      <w:r>
        <w:rPr>
          <w:sz w:val="19"/>
        </w:rPr>
        <w:t>will</w:t>
      </w:r>
      <w:r>
        <w:rPr>
          <w:spacing w:val="-7"/>
          <w:sz w:val="19"/>
        </w:rPr>
        <w:t> </w:t>
      </w:r>
      <w:r>
        <w:rPr>
          <w:sz w:val="19"/>
        </w:rPr>
        <w:t>be</w:t>
      </w:r>
      <w:r>
        <w:rPr>
          <w:spacing w:val="-5"/>
          <w:sz w:val="19"/>
        </w:rPr>
        <w:t> </w:t>
      </w:r>
      <w:r>
        <w:rPr>
          <w:sz w:val="19"/>
        </w:rPr>
        <w:t>assessed</w:t>
      </w:r>
      <w:r>
        <w:rPr>
          <w:spacing w:val="-4"/>
          <w:sz w:val="19"/>
        </w:rPr>
        <w:t> </w:t>
      </w:r>
      <w:r>
        <w:rPr>
          <w:sz w:val="19"/>
        </w:rPr>
        <w:t>the</w:t>
      </w:r>
      <w:r>
        <w:rPr>
          <w:spacing w:val="-5"/>
          <w:sz w:val="19"/>
        </w:rPr>
        <w:t> </w:t>
      </w:r>
      <w:r>
        <w:rPr>
          <w:sz w:val="19"/>
        </w:rPr>
        <w:t>following</w:t>
      </w:r>
      <w:r>
        <w:rPr>
          <w:spacing w:val="-5"/>
          <w:sz w:val="19"/>
        </w:rPr>
        <w:t> </w:t>
      </w:r>
      <w:r>
        <w:rPr>
          <w:sz w:val="19"/>
        </w:rPr>
        <w:t>fees</w:t>
      </w:r>
      <w:r>
        <w:rPr>
          <w:spacing w:val="-4"/>
          <w:sz w:val="19"/>
        </w:rPr>
        <w:t> </w:t>
      </w:r>
      <w:r>
        <w:rPr>
          <w:sz w:val="19"/>
        </w:rPr>
        <w:t>per</w:t>
      </w:r>
      <w:r>
        <w:rPr>
          <w:spacing w:val="-6"/>
          <w:sz w:val="19"/>
        </w:rPr>
        <w:t> </w:t>
      </w:r>
      <w:r>
        <w:rPr>
          <w:sz w:val="19"/>
        </w:rPr>
        <w:t>credit</w:t>
      </w:r>
      <w:r>
        <w:rPr>
          <w:spacing w:val="-7"/>
          <w:sz w:val="19"/>
        </w:rPr>
        <w:t> </w:t>
      </w:r>
      <w:r>
        <w:rPr>
          <w:spacing w:val="-2"/>
          <w:sz w:val="19"/>
        </w:rPr>
        <w:t>hour:</w:t>
      </w:r>
    </w:p>
    <w:p>
      <w:pPr>
        <w:pStyle w:val="BodyText"/>
        <w:spacing w:before="9"/>
      </w:pPr>
    </w:p>
    <w:p>
      <w:pPr>
        <w:pStyle w:val="BodyText"/>
        <w:ind w:left="3138"/>
      </w:pPr>
      <w:r>
        <w:rPr/>
        <w:t>FALL</w:t>
      </w:r>
      <w:r>
        <w:rPr>
          <w:spacing w:val="-7"/>
        </w:rPr>
        <w:t> </w:t>
      </w:r>
      <w:r>
        <w:rPr>
          <w:strike/>
          <w:color w:val="0101FF"/>
        </w:rPr>
        <w:t>2003</w:t>
      </w:r>
      <w:r>
        <w:rPr>
          <w:strike w:val="0"/>
          <w:color w:val="0101FF"/>
          <w:spacing w:val="-8"/>
        </w:rPr>
        <w:t> </w:t>
      </w:r>
      <w:r>
        <w:rPr>
          <w:strike w:val="0"/>
          <w:color w:val="0101FF"/>
        </w:rPr>
        <w:t>2005</w:t>
      </w:r>
      <w:r>
        <w:rPr>
          <w:strike w:val="0"/>
        </w:rPr>
        <w:t>/SPRING</w:t>
      </w:r>
      <w:r>
        <w:rPr>
          <w:strike w:val="0"/>
          <w:spacing w:val="-8"/>
        </w:rPr>
        <w:t> </w:t>
      </w:r>
      <w:r>
        <w:rPr>
          <w:strike/>
          <w:color w:val="0101FF"/>
        </w:rPr>
        <w:t>2004</w:t>
      </w:r>
      <w:r>
        <w:rPr>
          <w:strike w:val="0"/>
          <w:color w:val="0101FF"/>
          <w:spacing w:val="-5"/>
        </w:rPr>
        <w:t> </w:t>
      </w:r>
      <w:r>
        <w:rPr>
          <w:strike w:val="0"/>
          <w:color w:val="0101FF"/>
          <w:spacing w:val="-4"/>
        </w:rPr>
        <w:t>2006</w:t>
      </w:r>
    </w:p>
    <w:p>
      <w:pPr>
        <w:pStyle w:val="BodyText"/>
        <w:spacing w:before="9"/>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6"/>
        <w:gridCol w:w="1576"/>
        <w:gridCol w:w="1638"/>
        <w:gridCol w:w="1888"/>
        <w:gridCol w:w="2070"/>
      </w:tblGrid>
      <w:tr>
        <w:trPr>
          <w:trHeight w:val="585" w:hRule="atLeast"/>
        </w:trPr>
        <w:tc>
          <w:tcPr>
            <w:tcW w:w="2426" w:type="dxa"/>
          </w:tcPr>
          <w:p>
            <w:pPr>
              <w:pStyle w:val="TableParagraph"/>
              <w:spacing w:line="199" w:lineRule="exact"/>
              <w:ind w:left="1054" w:right="1051"/>
              <w:jc w:val="center"/>
              <w:rPr>
                <w:b/>
                <w:sz w:val="19"/>
              </w:rPr>
            </w:pPr>
            <w:r>
              <w:rPr>
                <w:b/>
                <w:spacing w:val="-5"/>
                <w:sz w:val="19"/>
              </w:rPr>
              <w:t>Fee</w:t>
            </w:r>
          </w:p>
        </w:tc>
        <w:tc>
          <w:tcPr>
            <w:tcW w:w="1576" w:type="dxa"/>
          </w:tcPr>
          <w:p>
            <w:pPr>
              <w:pStyle w:val="TableParagraph"/>
              <w:spacing w:line="213" w:lineRule="auto"/>
              <w:ind w:left="434" w:right="124" w:hanging="293"/>
              <w:rPr>
                <w:b/>
                <w:sz w:val="19"/>
              </w:rPr>
            </w:pPr>
            <w:r>
              <w:rPr>
                <w:b/>
                <w:sz w:val="19"/>
              </w:rPr>
              <w:t>Under</w:t>
            </w:r>
            <w:r>
              <w:rPr>
                <w:b/>
                <w:spacing w:val="-12"/>
                <w:sz w:val="19"/>
              </w:rPr>
              <w:t> </w:t>
            </w:r>
            <w:r>
              <w:rPr>
                <w:b/>
                <w:sz w:val="19"/>
              </w:rPr>
              <w:t>graduate </w:t>
            </w:r>
            <w:r>
              <w:rPr>
                <w:b/>
                <w:spacing w:val="-2"/>
                <w:sz w:val="19"/>
              </w:rPr>
              <w:t>Resident</w:t>
            </w:r>
          </w:p>
        </w:tc>
        <w:tc>
          <w:tcPr>
            <w:tcW w:w="1638" w:type="dxa"/>
          </w:tcPr>
          <w:p>
            <w:pPr>
              <w:pStyle w:val="TableParagraph"/>
              <w:spacing w:line="213" w:lineRule="auto"/>
              <w:ind w:left="147" w:right="133"/>
              <w:jc w:val="center"/>
              <w:rPr>
                <w:b/>
                <w:sz w:val="19"/>
              </w:rPr>
            </w:pPr>
            <w:r>
              <w:rPr>
                <w:b/>
                <w:spacing w:val="9"/>
                <w:sz w:val="19"/>
              </w:rPr>
              <w:t>Un</w:t>
            </w:r>
            <w:r>
              <w:rPr>
                <w:b/>
                <w:spacing w:val="-24"/>
                <w:sz w:val="19"/>
              </w:rPr>
              <w:t> </w:t>
            </w:r>
            <w:r>
              <w:rPr>
                <w:b/>
                <w:sz w:val="19"/>
              </w:rPr>
              <w:t>d</w:t>
            </w:r>
            <w:r>
              <w:rPr>
                <w:b/>
                <w:spacing w:val="-21"/>
                <w:sz w:val="19"/>
              </w:rPr>
              <w:t> </w:t>
            </w:r>
            <w:r>
              <w:rPr>
                <w:b/>
                <w:sz w:val="19"/>
              </w:rPr>
              <w:t>e</w:t>
            </w:r>
            <w:r>
              <w:rPr>
                <w:b/>
                <w:spacing w:val="-22"/>
                <w:sz w:val="19"/>
              </w:rPr>
              <w:t> </w:t>
            </w:r>
            <w:r>
              <w:rPr>
                <w:b/>
                <w:spacing w:val="9"/>
                <w:sz w:val="19"/>
              </w:rPr>
              <w:t>rg</w:t>
            </w:r>
            <w:r>
              <w:rPr>
                <w:b/>
                <w:spacing w:val="-23"/>
                <w:sz w:val="19"/>
              </w:rPr>
              <w:t> </w:t>
            </w:r>
            <w:r>
              <w:rPr>
                <w:b/>
                <w:spacing w:val="9"/>
                <w:sz w:val="19"/>
              </w:rPr>
              <w:t>ra</w:t>
            </w:r>
            <w:r>
              <w:rPr>
                <w:b/>
                <w:spacing w:val="-20"/>
                <w:sz w:val="19"/>
              </w:rPr>
              <w:t> </w:t>
            </w:r>
            <w:r>
              <w:rPr>
                <w:b/>
                <w:sz w:val="19"/>
              </w:rPr>
              <w:t>d</w:t>
            </w:r>
            <w:r>
              <w:rPr>
                <w:b/>
                <w:spacing w:val="-24"/>
                <w:sz w:val="19"/>
              </w:rPr>
              <w:t> </w:t>
            </w:r>
            <w:r>
              <w:rPr>
                <w:b/>
                <w:sz w:val="19"/>
              </w:rPr>
              <w:t>u</w:t>
            </w:r>
            <w:r>
              <w:rPr>
                <w:b/>
                <w:spacing w:val="-24"/>
                <w:sz w:val="19"/>
              </w:rPr>
              <w:t> </w:t>
            </w:r>
            <w:r>
              <w:rPr>
                <w:b/>
                <w:sz w:val="19"/>
              </w:rPr>
              <w:t>a </w:t>
            </w:r>
            <w:r>
              <w:rPr>
                <w:b/>
                <w:spacing w:val="11"/>
                <w:sz w:val="19"/>
              </w:rPr>
              <w:t>te</w:t>
            </w:r>
            <w:r>
              <w:rPr>
                <w:b/>
                <w:spacing w:val="40"/>
                <w:sz w:val="19"/>
              </w:rPr>
              <w:t> </w:t>
            </w:r>
            <w:r>
              <w:rPr>
                <w:b/>
                <w:sz w:val="19"/>
              </w:rPr>
              <w:t>n</w:t>
            </w:r>
            <w:r>
              <w:rPr>
                <w:b/>
                <w:spacing w:val="-7"/>
                <w:sz w:val="19"/>
              </w:rPr>
              <w:t> </w:t>
            </w:r>
            <w:r>
              <w:rPr>
                <w:b/>
                <w:sz w:val="19"/>
              </w:rPr>
              <w:t>o</w:t>
            </w:r>
            <w:r>
              <w:rPr>
                <w:b/>
                <w:spacing w:val="-5"/>
                <w:sz w:val="19"/>
              </w:rPr>
              <w:t> </w:t>
            </w:r>
            <w:r>
              <w:rPr>
                <w:b/>
                <w:sz w:val="19"/>
              </w:rPr>
              <w:t>n</w:t>
            </w:r>
            <w:r>
              <w:rPr>
                <w:b/>
                <w:spacing w:val="-3"/>
                <w:sz w:val="19"/>
              </w:rPr>
              <w:t> </w:t>
            </w:r>
            <w:r>
              <w:rPr>
                <w:b/>
                <w:sz w:val="19"/>
              </w:rPr>
              <w:t>-</w:t>
            </w:r>
          </w:p>
          <w:p>
            <w:pPr>
              <w:pStyle w:val="TableParagraph"/>
              <w:spacing w:line="176" w:lineRule="exact"/>
              <w:ind w:left="147" w:right="133"/>
              <w:jc w:val="center"/>
              <w:rPr>
                <w:b/>
                <w:sz w:val="19"/>
              </w:rPr>
            </w:pPr>
            <w:r>
              <w:rPr>
                <w:b/>
                <w:spacing w:val="15"/>
                <w:w w:val="95"/>
                <w:sz w:val="19"/>
              </w:rPr>
              <w:t>res</w:t>
            </w:r>
            <w:r>
              <w:rPr>
                <w:b/>
                <w:spacing w:val="-13"/>
                <w:w w:val="95"/>
                <w:sz w:val="19"/>
              </w:rPr>
              <w:t> </w:t>
            </w:r>
            <w:r>
              <w:rPr>
                <w:b/>
                <w:w w:val="95"/>
                <w:sz w:val="19"/>
              </w:rPr>
              <w:t>i</w:t>
            </w:r>
            <w:r>
              <w:rPr>
                <w:b/>
                <w:spacing w:val="-15"/>
                <w:w w:val="95"/>
                <w:sz w:val="19"/>
              </w:rPr>
              <w:t> </w:t>
            </w:r>
            <w:r>
              <w:rPr>
                <w:b/>
                <w:w w:val="95"/>
                <w:sz w:val="19"/>
              </w:rPr>
              <w:t>d</w:t>
            </w:r>
            <w:r>
              <w:rPr>
                <w:b/>
                <w:spacing w:val="-12"/>
                <w:w w:val="95"/>
                <w:sz w:val="19"/>
              </w:rPr>
              <w:t> </w:t>
            </w:r>
            <w:r>
              <w:rPr>
                <w:b/>
                <w:spacing w:val="11"/>
                <w:w w:val="95"/>
                <w:sz w:val="19"/>
              </w:rPr>
              <w:t>en</w:t>
            </w:r>
            <w:r>
              <w:rPr>
                <w:b/>
                <w:spacing w:val="-12"/>
                <w:w w:val="95"/>
                <w:sz w:val="19"/>
              </w:rPr>
              <w:t> </w:t>
            </w:r>
            <w:r>
              <w:rPr>
                <w:b/>
                <w:spacing w:val="-10"/>
                <w:w w:val="95"/>
                <w:sz w:val="19"/>
              </w:rPr>
              <w:t>t</w:t>
            </w:r>
          </w:p>
        </w:tc>
        <w:tc>
          <w:tcPr>
            <w:tcW w:w="1888" w:type="dxa"/>
          </w:tcPr>
          <w:p>
            <w:pPr>
              <w:pStyle w:val="TableParagraph"/>
              <w:spacing w:line="199" w:lineRule="exact"/>
              <w:ind w:left="194"/>
              <w:rPr>
                <w:b/>
                <w:sz w:val="19"/>
              </w:rPr>
            </w:pPr>
            <w:r>
              <w:rPr>
                <w:b/>
                <w:sz w:val="19"/>
              </w:rPr>
              <w:t>Graduate</w:t>
            </w:r>
            <w:r>
              <w:rPr>
                <w:b/>
                <w:spacing w:val="-10"/>
                <w:sz w:val="19"/>
              </w:rPr>
              <w:t> </w:t>
            </w:r>
            <w:r>
              <w:rPr>
                <w:b/>
                <w:spacing w:val="-2"/>
                <w:sz w:val="19"/>
              </w:rPr>
              <w:t>Resident</w:t>
            </w:r>
          </w:p>
        </w:tc>
        <w:tc>
          <w:tcPr>
            <w:tcW w:w="2070" w:type="dxa"/>
          </w:tcPr>
          <w:p>
            <w:pPr>
              <w:pStyle w:val="TableParagraph"/>
              <w:spacing w:line="213" w:lineRule="auto"/>
              <w:ind w:left="819" w:right="263" w:hanging="260"/>
              <w:rPr>
                <w:b/>
                <w:sz w:val="19"/>
              </w:rPr>
            </w:pPr>
            <w:r>
              <w:rPr>
                <w:b/>
                <w:sz w:val="19"/>
              </w:rPr>
              <w:t>Graduate</w:t>
            </w:r>
            <w:r>
              <w:rPr>
                <w:b/>
                <w:spacing w:val="-12"/>
                <w:sz w:val="19"/>
              </w:rPr>
              <w:t> </w:t>
            </w:r>
            <w:r>
              <w:rPr>
                <w:b/>
                <w:sz w:val="19"/>
              </w:rPr>
              <w:t>Non- </w:t>
            </w:r>
            <w:r>
              <w:rPr>
                <w:b/>
                <w:spacing w:val="-2"/>
                <w:sz w:val="19"/>
              </w:rPr>
              <w:t>Resident</w:t>
            </w:r>
          </w:p>
        </w:tc>
      </w:tr>
      <w:tr>
        <w:trPr>
          <w:trHeight w:val="186" w:hRule="atLeast"/>
        </w:trPr>
        <w:tc>
          <w:tcPr>
            <w:tcW w:w="2426" w:type="dxa"/>
            <w:vMerge w:val="restart"/>
          </w:tcPr>
          <w:p>
            <w:pPr>
              <w:pStyle w:val="TableParagraph"/>
              <w:spacing w:line="199" w:lineRule="exact"/>
              <w:ind w:left="247"/>
              <w:rPr>
                <w:sz w:val="19"/>
              </w:rPr>
            </w:pPr>
            <w:r>
              <w:rPr>
                <w:spacing w:val="-2"/>
                <w:sz w:val="19"/>
              </w:rPr>
              <w:t>Matriculation</w:t>
            </w:r>
          </w:p>
        </w:tc>
        <w:tc>
          <w:tcPr>
            <w:tcW w:w="1576" w:type="dxa"/>
            <w:tcBorders>
              <w:bottom w:val="nil"/>
            </w:tcBorders>
          </w:tcPr>
          <w:p>
            <w:pPr>
              <w:pStyle w:val="TableParagraph"/>
              <w:spacing w:line="166" w:lineRule="exact"/>
              <w:ind w:right="354"/>
              <w:jc w:val="right"/>
              <w:rPr>
                <w:sz w:val="19"/>
              </w:rPr>
            </w:pPr>
            <w:r>
              <w:rPr>
                <w:spacing w:val="-2"/>
                <w:sz w:val="19"/>
              </w:rPr>
              <w:t>$</w:t>
            </w:r>
            <w:r>
              <w:rPr>
                <w:strike/>
                <w:color w:val="0101FF"/>
                <w:spacing w:val="-2"/>
                <w:sz w:val="19"/>
              </w:rPr>
              <w:t>63.41</w:t>
            </w:r>
          </w:p>
        </w:tc>
        <w:tc>
          <w:tcPr>
            <w:tcW w:w="1638" w:type="dxa"/>
            <w:tcBorders>
              <w:bottom w:val="nil"/>
            </w:tcBorders>
          </w:tcPr>
          <w:p>
            <w:pPr>
              <w:pStyle w:val="TableParagraph"/>
              <w:spacing w:line="166" w:lineRule="exact"/>
              <w:ind w:right="446"/>
              <w:jc w:val="right"/>
              <w:rPr>
                <w:sz w:val="19"/>
              </w:rPr>
            </w:pPr>
            <w:r>
              <w:rPr>
                <w:spacing w:val="-2"/>
                <w:sz w:val="19"/>
              </w:rPr>
              <w:t>$</w:t>
            </w:r>
            <w:r>
              <w:rPr>
                <w:strike/>
                <w:color w:val="0101FF"/>
                <w:spacing w:val="-2"/>
                <w:sz w:val="19"/>
              </w:rPr>
              <w:t>392.15</w:t>
            </w:r>
          </w:p>
        </w:tc>
        <w:tc>
          <w:tcPr>
            <w:tcW w:w="1888" w:type="dxa"/>
            <w:tcBorders>
              <w:bottom w:val="nil"/>
            </w:tcBorders>
          </w:tcPr>
          <w:p>
            <w:pPr>
              <w:pStyle w:val="TableParagraph"/>
              <w:spacing w:line="166" w:lineRule="exact"/>
              <w:ind w:left="779"/>
              <w:rPr>
                <w:sz w:val="19"/>
              </w:rPr>
            </w:pPr>
            <w:r>
              <w:rPr>
                <w:spacing w:val="-2"/>
                <w:sz w:val="19"/>
              </w:rPr>
              <w:t>$</w:t>
            </w:r>
            <w:r>
              <w:rPr>
                <w:strike/>
                <w:color w:val="0101FF"/>
                <w:spacing w:val="-2"/>
                <w:sz w:val="19"/>
              </w:rPr>
              <w:t>169.45</w:t>
            </w:r>
          </w:p>
        </w:tc>
        <w:tc>
          <w:tcPr>
            <w:tcW w:w="2070" w:type="dxa"/>
            <w:tcBorders>
              <w:bottom w:val="nil"/>
            </w:tcBorders>
          </w:tcPr>
          <w:p>
            <w:pPr>
              <w:pStyle w:val="TableParagraph"/>
              <w:spacing w:line="166" w:lineRule="exact"/>
              <w:ind w:right="576"/>
              <w:jc w:val="right"/>
              <w:rPr>
                <w:sz w:val="19"/>
              </w:rPr>
            </w:pPr>
            <w:r>
              <w:rPr>
                <w:spacing w:val="-2"/>
                <w:sz w:val="19"/>
              </w:rPr>
              <w:t>$</w:t>
            </w:r>
            <w:r>
              <w:rPr>
                <w:strike/>
                <w:color w:val="0101FF"/>
                <w:spacing w:val="-2"/>
                <w:sz w:val="19"/>
              </w:rPr>
              <w:t>678.53</w:t>
            </w:r>
          </w:p>
        </w:tc>
      </w:tr>
      <w:tr>
        <w:trPr>
          <w:trHeight w:val="194" w:hRule="atLeast"/>
        </w:trPr>
        <w:tc>
          <w:tcPr>
            <w:tcW w:w="2426" w:type="dxa"/>
            <w:vMerge/>
            <w:tcBorders>
              <w:top w:val="nil"/>
            </w:tcBorders>
          </w:tcPr>
          <w:p>
            <w:pPr>
              <w:rPr>
                <w:sz w:val="2"/>
                <w:szCs w:val="2"/>
              </w:rPr>
            </w:pPr>
          </w:p>
        </w:tc>
        <w:tc>
          <w:tcPr>
            <w:tcW w:w="1576" w:type="dxa"/>
            <w:tcBorders>
              <w:top w:val="nil"/>
            </w:tcBorders>
          </w:tcPr>
          <w:p>
            <w:pPr>
              <w:pStyle w:val="TableParagraph"/>
              <w:spacing w:line="174" w:lineRule="exact"/>
              <w:ind w:right="403"/>
              <w:jc w:val="right"/>
              <w:rPr>
                <w:sz w:val="19"/>
              </w:rPr>
            </w:pPr>
            <w:r>
              <w:rPr>
                <w:color w:val="0101FF"/>
                <w:spacing w:val="-2"/>
                <w:sz w:val="19"/>
              </w:rPr>
              <w:t>71.57</w:t>
            </w:r>
          </w:p>
        </w:tc>
        <w:tc>
          <w:tcPr>
            <w:tcW w:w="1638" w:type="dxa"/>
            <w:tcBorders>
              <w:top w:val="nil"/>
            </w:tcBorders>
          </w:tcPr>
          <w:p>
            <w:pPr>
              <w:pStyle w:val="TableParagraph"/>
              <w:spacing w:line="174" w:lineRule="exact"/>
              <w:ind w:right="492"/>
              <w:jc w:val="right"/>
              <w:rPr>
                <w:sz w:val="19"/>
              </w:rPr>
            </w:pPr>
            <w:r>
              <w:rPr>
                <w:color w:val="0101FF"/>
                <w:spacing w:val="-2"/>
                <w:sz w:val="19"/>
              </w:rPr>
              <w:t>441.16</w:t>
            </w:r>
          </w:p>
        </w:tc>
        <w:tc>
          <w:tcPr>
            <w:tcW w:w="1888" w:type="dxa"/>
            <w:tcBorders>
              <w:top w:val="nil"/>
            </w:tcBorders>
          </w:tcPr>
          <w:p>
            <w:pPr>
              <w:pStyle w:val="TableParagraph"/>
              <w:spacing w:line="174" w:lineRule="exact"/>
              <w:ind w:left="825"/>
              <w:rPr>
                <w:sz w:val="19"/>
              </w:rPr>
            </w:pPr>
            <w:r>
              <w:rPr>
                <w:color w:val="0101FF"/>
                <w:spacing w:val="-2"/>
                <w:sz w:val="19"/>
              </w:rPr>
              <w:t>200.16</w:t>
            </w:r>
          </w:p>
        </w:tc>
        <w:tc>
          <w:tcPr>
            <w:tcW w:w="2070" w:type="dxa"/>
            <w:tcBorders>
              <w:top w:val="nil"/>
            </w:tcBorders>
          </w:tcPr>
          <w:p>
            <w:pPr>
              <w:pStyle w:val="TableParagraph"/>
              <w:spacing w:line="174" w:lineRule="exact"/>
              <w:ind w:right="620"/>
              <w:jc w:val="right"/>
              <w:rPr>
                <w:sz w:val="19"/>
              </w:rPr>
            </w:pPr>
            <w:r>
              <w:rPr>
                <w:color w:val="0101FF"/>
                <w:spacing w:val="-2"/>
                <w:sz w:val="19"/>
              </w:rPr>
              <w:t>763.34</w:t>
            </w:r>
          </w:p>
        </w:tc>
      </w:tr>
      <w:tr>
        <w:trPr>
          <w:trHeight w:val="222" w:hRule="atLeast"/>
        </w:trPr>
        <w:tc>
          <w:tcPr>
            <w:tcW w:w="2426" w:type="dxa"/>
            <w:tcBorders>
              <w:bottom w:val="nil"/>
            </w:tcBorders>
          </w:tcPr>
          <w:p>
            <w:pPr>
              <w:pStyle w:val="TableParagraph"/>
              <w:rPr>
                <w:sz w:val="14"/>
              </w:rPr>
            </w:pPr>
          </w:p>
        </w:tc>
        <w:tc>
          <w:tcPr>
            <w:tcW w:w="1576" w:type="dxa"/>
            <w:tcBorders>
              <w:bottom w:val="nil"/>
            </w:tcBorders>
          </w:tcPr>
          <w:p>
            <w:pPr>
              <w:pStyle w:val="TableParagraph"/>
              <w:spacing w:line="203" w:lineRule="exact"/>
              <w:ind w:left="560" w:right="547"/>
              <w:jc w:val="center"/>
              <w:rPr>
                <w:sz w:val="19"/>
              </w:rPr>
            </w:pPr>
            <w:r>
              <w:rPr>
                <w:spacing w:val="-2"/>
                <w:sz w:val="19"/>
              </w:rPr>
              <w:t>$</w:t>
            </w:r>
            <w:r>
              <w:rPr>
                <w:strike/>
                <w:color w:val="0101FF"/>
                <w:spacing w:val="-2"/>
                <w:sz w:val="19"/>
              </w:rPr>
              <w:t>3.17</w:t>
            </w:r>
          </w:p>
        </w:tc>
        <w:tc>
          <w:tcPr>
            <w:tcW w:w="1638" w:type="dxa"/>
            <w:tcBorders>
              <w:bottom w:val="nil"/>
            </w:tcBorders>
          </w:tcPr>
          <w:p>
            <w:pPr>
              <w:pStyle w:val="TableParagraph"/>
              <w:spacing w:line="203" w:lineRule="exact"/>
              <w:ind w:left="145" w:right="133"/>
              <w:jc w:val="center"/>
              <w:rPr>
                <w:sz w:val="19"/>
              </w:rPr>
            </w:pPr>
            <w:r>
              <w:rPr>
                <w:spacing w:val="-2"/>
                <w:sz w:val="19"/>
              </w:rPr>
              <w:t>$</w:t>
            </w:r>
            <w:r>
              <w:rPr>
                <w:strike/>
                <w:color w:val="0101FF"/>
                <w:spacing w:val="-2"/>
                <w:sz w:val="19"/>
              </w:rPr>
              <w:t>19.60</w:t>
            </w:r>
          </w:p>
        </w:tc>
        <w:tc>
          <w:tcPr>
            <w:tcW w:w="1888" w:type="dxa"/>
            <w:tcBorders>
              <w:bottom w:val="nil"/>
            </w:tcBorders>
          </w:tcPr>
          <w:p>
            <w:pPr>
              <w:pStyle w:val="TableParagraph"/>
              <w:spacing w:line="203" w:lineRule="exact"/>
              <w:ind w:left="627" w:right="615"/>
              <w:jc w:val="center"/>
              <w:rPr>
                <w:sz w:val="19"/>
              </w:rPr>
            </w:pPr>
            <w:r>
              <w:rPr>
                <w:spacing w:val="-2"/>
                <w:sz w:val="19"/>
              </w:rPr>
              <w:t>$</w:t>
            </w:r>
            <w:r>
              <w:rPr>
                <w:strike/>
                <w:color w:val="0101FF"/>
                <w:spacing w:val="-2"/>
                <w:sz w:val="19"/>
              </w:rPr>
              <w:t>8.47</w:t>
            </w:r>
          </w:p>
        </w:tc>
        <w:tc>
          <w:tcPr>
            <w:tcW w:w="2070" w:type="dxa"/>
            <w:tcBorders>
              <w:bottom w:val="nil"/>
            </w:tcBorders>
          </w:tcPr>
          <w:p>
            <w:pPr>
              <w:pStyle w:val="TableParagraph"/>
              <w:spacing w:line="203" w:lineRule="exact"/>
              <w:ind w:left="723" w:right="702"/>
              <w:jc w:val="center"/>
              <w:rPr>
                <w:sz w:val="19"/>
              </w:rPr>
            </w:pPr>
            <w:r>
              <w:rPr>
                <w:sz w:val="19"/>
              </w:rPr>
              <w:t>$ </w:t>
            </w:r>
            <w:r>
              <w:rPr>
                <w:strike/>
                <w:color w:val="0101FF"/>
                <w:spacing w:val="-2"/>
                <w:sz w:val="19"/>
              </w:rPr>
              <w:t>33.92</w:t>
            </w:r>
          </w:p>
        </w:tc>
      </w:tr>
      <w:tr>
        <w:trPr>
          <w:trHeight w:val="266" w:hRule="atLeast"/>
        </w:trPr>
        <w:tc>
          <w:tcPr>
            <w:tcW w:w="2426" w:type="dxa"/>
            <w:tcBorders>
              <w:top w:val="nil"/>
            </w:tcBorders>
          </w:tcPr>
          <w:p>
            <w:pPr>
              <w:pStyle w:val="TableParagraph"/>
              <w:spacing w:before="5"/>
              <w:ind w:left="247"/>
              <w:rPr>
                <w:sz w:val="19"/>
              </w:rPr>
            </w:pPr>
            <w:r>
              <w:rPr>
                <w:sz w:val="19"/>
              </w:rPr>
              <w:t>Student</w:t>
            </w:r>
            <w:r>
              <w:rPr>
                <w:spacing w:val="-8"/>
                <w:sz w:val="19"/>
              </w:rPr>
              <w:t> </w:t>
            </w:r>
            <w:r>
              <w:rPr>
                <w:sz w:val="19"/>
              </w:rPr>
              <w:t>Financial</w:t>
            </w:r>
            <w:r>
              <w:rPr>
                <w:spacing w:val="-7"/>
                <w:sz w:val="19"/>
              </w:rPr>
              <w:t> </w:t>
            </w:r>
            <w:r>
              <w:rPr>
                <w:spacing w:val="-5"/>
                <w:sz w:val="19"/>
              </w:rPr>
              <w:t>Aid</w:t>
            </w:r>
          </w:p>
        </w:tc>
        <w:tc>
          <w:tcPr>
            <w:tcW w:w="1576" w:type="dxa"/>
            <w:tcBorders>
              <w:top w:val="nil"/>
            </w:tcBorders>
          </w:tcPr>
          <w:p>
            <w:pPr>
              <w:pStyle w:val="TableParagraph"/>
              <w:spacing w:line="214" w:lineRule="exact"/>
              <w:ind w:left="560" w:right="547"/>
              <w:jc w:val="center"/>
              <w:rPr>
                <w:sz w:val="19"/>
              </w:rPr>
            </w:pPr>
            <w:r>
              <w:rPr>
                <w:color w:val="0101FF"/>
                <w:spacing w:val="-4"/>
                <w:sz w:val="19"/>
              </w:rPr>
              <w:t>3.57</w:t>
            </w:r>
          </w:p>
        </w:tc>
        <w:tc>
          <w:tcPr>
            <w:tcW w:w="1638" w:type="dxa"/>
            <w:tcBorders>
              <w:top w:val="nil"/>
            </w:tcBorders>
          </w:tcPr>
          <w:p>
            <w:pPr>
              <w:pStyle w:val="TableParagraph"/>
              <w:spacing w:line="214" w:lineRule="exact"/>
              <w:ind w:left="147" w:right="64"/>
              <w:jc w:val="center"/>
              <w:rPr>
                <w:sz w:val="19"/>
              </w:rPr>
            </w:pPr>
            <w:r>
              <w:rPr>
                <w:color w:val="0101FF"/>
                <w:spacing w:val="-2"/>
                <w:sz w:val="19"/>
              </w:rPr>
              <w:t>22.05</w:t>
            </w:r>
          </w:p>
        </w:tc>
        <w:tc>
          <w:tcPr>
            <w:tcW w:w="1888" w:type="dxa"/>
            <w:tcBorders>
              <w:top w:val="nil"/>
            </w:tcBorders>
          </w:tcPr>
          <w:p>
            <w:pPr>
              <w:pStyle w:val="TableParagraph"/>
              <w:spacing w:line="214" w:lineRule="exact"/>
              <w:ind w:left="628" w:right="615"/>
              <w:jc w:val="center"/>
              <w:rPr>
                <w:sz w:val="19"/>
              </w:rPr>
            </w:pPr>
            <w:r>
              <w:rPr>
                <w:color w:val="0101FF"/>
                <w:spacing w:val="-2"/>
                <w:sz w:val="19"/>
              </w:rPr>
              <w:t>10.00</w:t>
            </w:r>
          </w:p>
        </w:tc>
        <w:tc>
          <w:tcPr>
            <w:tcW w:w="2070" w:type="dxa"/>
            <w:tcBorders>
              <w:top w:val="nil"/>
            </w:tcBorders>
          </w:tcPr>
          <w:p>
            <w:pPr>
              <w:pStyle w:val="TableParagraph"/>
              <w:spacing w:line="214" w:lineRule="exact"/>
              <w:ind w:left="722" w:right="702"/>
              <w:jc w:val="center"/>
              <w:rPr>
                <w:sz w:val="19"/>
              </w:rPr>
            </w:pPr>
            <w:r>
              <w:rPr>
                <w:color w:val="0101FF"/>
                <w:spacing w:val="-2"/>
                <w:sz w:val="19"/>
              </w:rPr>
              <w:t>38.16</w:t>
            </w:r>
          </w:p>
        </w:tc>
      </w:tr>
      <w:tr>
        <w:trPr>
          <w:trHeight w:val="630" w:hRule="atLeast"/>
        </w:trPr>
        <w:tc>
          <w:tcPr>
            <w:tcW w:w="2426" w:type="dxa"/>
          </w:tcPr>
          <w:p>
            <w:pPr>
              <w:pStyle w:val="TableParagraph"/>
              <w:spacing w:line="244" w:lineRule="auto" w:before="110"/>
              <w:ind w:left="107"/>
              <w:rPr>
                <w:sz w:val="19"/>
              </w:rPr>
            </w:pPr>
            <w:r>
              <w:rPr>
                <w:sz w:val="19"/>
              </w:rPr>
              <w:t>Capital</w:t>
            </w:r>
            <w:r>
              <w:rPr>
                <w:spacing w:val="-12"/>
                <w:sz w:val="19"/>
              </w:rPr>
              <w:t> </w:t>
            </w:r>
            <w:r>
              <w:rPr>
                <w:sz w:val="19"/>
              </w:rPr>
              <w:t>Improvement</w:t>
            </w:r>
            <w:r>
              <w:rPr>
                <w:spacing w:val="-12"/>
                <w:sz w:val="19"/>
              </w:rPr>
              <w:t> </w:t>
            </w:r>
            <w:r>
              <w:rPr>
                <w:sz w:val="19"/>
              </w:rPr>
              <w:t>Trust </w:t>
            </w:r>
            <w:r>
              <w:rPr>
                <w:spacing w:val="-4"/>
                <w:sz w:val="19"/>
              </w:rPr>
              <w:t>Fund</w:t>
            </w:r>
          </w:p>
        </w:tc>
        <w:tc>
          <w:tcPr>
            <w:tcW w:w="1576" w:type="dxa"/>
          </w:tcPr>
          <w:p>
            <w:pPr>
              <w:pStyle w:val="TableParagraph"/>
              <w:ind w:left="560" w:right="546"/>
              <w:jc w:val="center"/>
              <w:rPr>
                <w:sz w:val="19"/>
              </w:rPr>
            </w:pPr>
            <w:r>
              <w:rPr>
                <w:spacing w:val="-2"/>
                <w:sz w:val="19"/>
              </w:rPr>
              <w:t>$2.44</w:t>
            </w:r>
          </w:p>
        </w:tc>
        <w:tc>
          <w:tcPr>
            <w:tcW w:w="1638" w:type="dxa"/>
          </w:tcPr>
          <w:p>
            <w:pPr>
              <w:pStyle w:val="TableParagraph"/>
              <w:ind w:left="144" w:right="133"/>
              <w:jc w:val="center"/>
              <w:rPr>
                <w:sz w:val="19"/>
              </w:rPr>
            </w:pPr>
            <w:r>
              <w:rPr>
                <w:spacing w:val="-2"/>
                <w:sz w:val="19"/>
              </w:rPr>
              <w:t>$2.44</w:t>
            </w:r>
          </w:p>
        </w:tc>
        <w:tc>
          <w:tcPr>
            <w:tcW w:w="1888" w:type="dxa"/>
          </w:tcPr>
          <w:p>
            <w:pPr>
              <w:pStyle w:val="TableParagraph"/>
              <w:ind w:left="628" w:right="615"/>
              <w:jc w:val="center"/>
              <w:rPr>
                <w:sz w:val="19"/>
              </w:rPr>
            </w:pPr>
            <w:r>
              <w:rPr>
                <w:spacing w:val="-2"/>
                <w:sz w:val="19"/>
              </w:rPr>
              <w:t>$2.44</w:t>
            </w:r>
          </w:p>
        </w:tc>
        <w:tc>
          <w:tcPr>
            <w:tcW w:w="2070" w:type="dxa"/>
          </w:tcPr>
          <w:p>
            <w:pPr>
              <w:pStyle w:val="TableParagraph"/>
              <w:ind w:left="722" w:right="702"/>
              <w:jc w:val="center"/>
              <w:rPr>
                <w:sz w:val="19"/>
              </w:rPr>
            </w:pPr>
            <w:r>
              <w:rPr>
                <w:spacing w:val="-2"/>
                <w:sz w:val="19"/>
              </w:rPr>
              <w:t>$2.44</w:t>
            </w:r>
          </w:p>
        </w:tc>
      </w:tr>
      <w:tr>
        <w:trPr>
          <w:trHeight w:val="424" w:hRule="atLeast"/>
        </w:trPr>
        <w:tc>
          <w:tcPr>
            <w:tcW w:w="2426" w:type="dxa"/>
          </w:tcPr>
          <w:p>
            <w:pPr>
              <w:pStyle w:val="TableParagraph"/>
              <w:spacing w:before="91"/>
              <w:ind w:left="247"/>
              <w:rPr>
                <w:sz w:val="19"/>
              </w:rPr>
            </w:pPr>
            <w:r>
              <w:rPr>
                <w:spacing w:val="-2"/>
                <w:sz w:val="19"/>
              </w:rPr>
              <w:t>Building</w:t>
            </w:r>
          </w:p>
        </w:tc>
        <w:tc>
          <w:tcPr>
            <w:tcW w:w="1576" w:type="dxa"/>
          </w:tcPr>
          <w:p>
            <w:pPr>
              <w:pStyle w:val="TableParagraph"/>
              <w:spacing w:before="91"/>
              <w:ind w:left="560" w:right="546"/>
              <w:jc w:val="center"/>
              <w:rPr>
                <w:sz w:val="19"/>
              </w:rPr>
            </w:pPr>
            <w:r>
              <w:rPr>
                <w:spacing w:val="-2"/>
                <w:sz w:val="19"/>
              </w:rPr>
              <w:t>$2.32</w:t>
            </w:r>
          </w:p>
        </w:tc>
        <w:tc>
          <w:tcPr>
            <w:tcW w:w="1638" w:type="dxa"/>
          </w:tcPr>
          <w:p>
            <w:pPr>
              <w:pStyle w:val="TableParagraph"/>
              <w:spacing w:before="91"/>
              <w:ind w:left="144" w:right="133"/>
              <w:jc w:val="center"/>
              <w:rPr>
                <w:sz w:val="19"/>
              </w:rPr>
            </w:pPr>
            <w:r>
              <w:rPr>
                <w:spacing w:val="-2"/>
                <w:sz w:val="19"/>
              </w:rPr>
              <w:t>$2.32</w:t>
            </w:r>
          </w:p>
        </w:tc>
        <w:tc>
          <w:tcPr>
            <w:tcW w:w="1888" w:type="dxa"/>
          </w:tcPr>
          <w:p>
            <w:pPr>
              <w:pStyle w:val="TableParagraph"/>
              <w:spacing w:before="91"/>
              <w:ind w:left="628" w:right="615"/>
              <w:jc w:val="center"/>
              <w:rPr>
                <w:sz w:val="19"/>
              </w:rPr>
            </w:pPr>
            <w:r>
              <w:rPr>
                <w:spacing w:val="-2"/>
                <w:sz w:val="19"/>
              </w:rPr>
              <w:t>$2.32</w:t>
            </w:r>
          </w:p>
        </w:tc>
        <w:tc>
          <w:tcPr>
            <w:tcW w:w="2070" w:type="dxa"/>
          </w:tcPr>
          <w:p>
            <w:pPr>
              <w:pStyle w:val="TableParagraph"/>
              <w:spacing w:before="91"/>
              <w:ind w:left="722" w:right="702"/>
              <w:jc w:val="center"/>
              <w:rPr>
                <w:sz w:val="19"/>
              </w:rPr>
            </w:pPr>
            <w:r>
              <w:rPr>
                <w:spacing w:val="-2"/>
                <w:sz w:val="19"/>
              </w:rPr>
              <w:t>$2.32</w:t>
            </w:r>
          </w:p>
        </w:tc>
      </w:tr>
      <w:tr>
        <w:trPr>
          <w:trHeight w:val="462" w:hRule="atLeast"/>
        </w:trPr>
        <w:tc>
          <w:tcPr>
            <w:tcW w:w="2426" w:type="dxa"/>
          </w:tcPr>
          <w:p>
            <w:pPr>
              <w:pStyle w:val="TableParagraph"/>
              <w:spacing w:line="211" w:lineRule="exact"/>
              <w:ind w:left="247"/>
              <w:rPr>
                <w:sz w:val="19"/>
              </w:rPr>
            </w:pPr>
            <w:r>
              <w:rPr>
                <w:sz w:val="19"/>
              </w:rPr>
              <w:t>Activity</w:t>
            </w:r>
            <w:r>
              <w:rPr>
                <w:spacing w:val="-4"/>
                <w:sz w:val="19"/>
              </w:rPr>
              <w:t> </w:t>
            </w:r>
            <w:r>
              <w:rPr>
                <w:sz w:val="19"/>
              </w:rPr>
              <w:t>&amp;</w:t>
            </w:r>
            <w:r>
              <w:rPr>
                <w:spacing w:val="-3"/>
                <w:sz w:val="19"/>
              </w:rPr>
              <w:t> </w:t>
            </w:r>
            <w:r>
              <w:rPr>
                <w:spacing w:val="-2"/>
                <w:sz w:val="19"/>
              </w:rPr>
              <w:t>Service</w:t>
            </w:r>
          </w:p>
        </w:tc>
        <w:tc>
          <w:tcPr>
            <w:tcW w:w="1576" w:type="dxa"/>
          </w:tcPr>
          <w:p>
            <w:pPr>
              <w:pStyle w:val="TableParagraph"/>
              <w:spacing w:line="237" w:lineRule="auto"/>
              <w:ind w:left="576" w:right="559" w:hanging="1"/>
              <w:jc w:val="center"/>
              <w:rPr>
                <w:sz w:val="19"/>
              </w:rPr>
            </w:pPr>
            <w:r>
              <w:rPr>
                <w:color w:val="C00000"/>
                <w:spacing w:val="-2"/>
                <w:sz w:val="19"/>
              </w:rPr>
              <w:t>$</w:t>
            </w:r>
            <w:r>
              <w:rPr>
                <w:strike/>
                <w:color w:val="C00000"/>
                <w:spacing w:val="-2"/>
                <w:sz w:val="19"/>
              </w:rPr>
              <w:t>7.49</w:t>
            </w:r>
            <w:r>
              <w:rPr>
                <w:strike w:val="0"/>
                <w:color w:val="C00000"/>
                <w:spacing w:val="-2"/>
                <w:sz w:val="19"/>
              </w:rPr>
              <w:t> </w:t>
            </w:r>
            <w:r>
              <w:rPr>
                <w:strike w:val="0"/>
                <w:color w:val="C00000"/>
                <w:spacing w:val="-4"/>
                <w:sz w:val="19"/>
              </w:rPr>
              <w:t>11.73</w:t>
            </w:r>
          </w:p>
        </w:tc>
        <w:tc>
          <w:tcPr>
            <w:tcW w:w="1638" w:type="dxa"/>
          </w:tcPr>
          <w:p>
            <w:pPr>
              <w:pStyle w:val="TableParagraph"/>
              <w:spacing w:line="237" w:lineRule="auto"/>
              <w:ind w:left="641" w:right="555" w:hanging="1"/>
              <w:jc w:val="center"/>
              <w:rPr>
                <w:sz w:val="19"/>
              </w:rPr>
            </w:pPr>
            <w:r>
              <w:rPr>
                <w:color w:val="C00000"/>
                <w:spacing w:val="-2"/>
                <w:sz w:val="19"/>
              </w:rPr>
              <w:t>$</w:t>
            </w:r>
            <w:r>
              <w:rPr>
                <w:strike/>
                <w:color w:val="C00000"/>
                <w:spacing w:val="-2"/>
                <w:sz w:val="19"/>
              </w:rPr>
              <w:t>7.49</w:t>
            </w:r>
            <w:r>
              <w:rPr>
                <w:strike w:val="0"/>
                <w:color w:val="C00000"/>
                <w:spacing w:val="-2"/>
                <w:sz w:val="19"/>
              </w:rPr>
              <w:t> </w:t>
            </w:r>
            <w:r>
              <w:rPr>
                <w:strike w:val="0"/>
                <w:color w:val="C00000"/>
                <w:spacing w:val="-4"/>
                <w:sz w:val="19"/>
              </w:rPr>
              <w:t>11.73</w:t>
            </w:r>
          </w:p>
        </w:tc>
        <w:tc>
          <w:tcPr>
            <w:tcW w:w="1888" w:type="dxa"/>
          </w:tcPr>
          <w:p>
            <w:pPr>
              <w:pStyle w:val="TableParagraph"/>
              <w:spacing w:line="237" w:lineRule="auto"/>
              <w:ind w:left="767" w:right="679" w:hanging="1"/>
              <w:jc w:val="center"/>
              <w:rPr>
                <w:sz w:val="19"/>
              </w:rPr>
            </w:pPr>
            <w:r>
              <w:rPr>
                <w:color w:val="C00000"/>
                <w:spacing w:val="-2"/>
                <w:sz w:val="19"/>
              </w:rPr>
              <w:t>$</w:t>
            </w:r>
            <w:r>
              <w:rPr>
                <w:strike/>
                <w:color w:val="C00000"/>
                <w:spacing w:val="-2"/>
                <w:sz w:val="19"/>
              </w:rPr>
              <w:t>7.49</w:t>
            </w:r>
            <w:r>
              <w:rPr>
                <w:strike w:val="0"/>
                <w:color w:val="C00000"/>
                <w:spacing w:val="-2"/>
                <w:sz w:val="19"/>
              </w:rPr>
              <w:t> </w:t>
            </w:r>
            <w:r>
              <w:rPr>
                <w:strike w:val="0"/>
                <w:color w:val="C00000"/>
                <w:spacing w:val="-4"/>
                <w:sz w:val="19"/>
              </w:rPr>
              <w:t>11.73</w:t>
            </w:r>
          </w:p>
        </w:tc>
        <w:tc>
          <w:tcPr>
            <w:tcW w:w="2070" w:type="dxa"/>
          </w:tcPr>
          <w:p>
            <w:pPr>
              <w:pStyle w:val="TableParagraph"/>
              <w:spacing w:line="237" w:lineRule="auto"/>
              <w:ind w:left="859" w:right="769" w:hanging="1"/>
              <w:jc w:val="center"/>
              <w:rPr>
                <w:sz w:val="19"/>
              </w:rPr>
            </w:pPr>
            <w:r>
              <w:rPr>
                <w:color w:val="C00000"/>
                <w:spacing w:val="-2"/>
                <w:sz w:val="19"/>
              </w:rPr>
              <w:t>$</w:t>
            </w:r>
            <w:r>
              <w:rPr>
                <w:strike/>
                <w:color w:val="C00000"/>
                <w:spacing w:val="-2"/>
                <w:sz w:val="19"/>
              </w:rPr>
              <w:t>7.49</w:t>
            </w:r>
            <w:r>
              <w:rPr>
                <w:strike w:val="0"/>
                <w:color w:val="C00000"/>
                <w:spacing w:val="-2"/>
                <w:sz w:val="19"/>
              </w:rPr>
              <w:t> </w:t>
            </w:r>
            <w:r>
              <w:rPr>
                <w:strike w:val="0"/>
                <w:color w:val="C00000"/>
                <w:spacing w:val="-4"/>
                <w:sz w:val="19"/>
              </w:rPr>
              <w:t>11.73</w:t>
            </w:r>
          </w:p>
        </w:tc>
      </w:tr>
      <w:tr>
        <w:trPr>
          <w:trHeight w:val="316" w:hRule="atLeast"/>
        </w:trPr>
        <w:tc>
          <w:tcPr>
            <w:tcW w:w="2426" w:type="dxa"/>
          </w:tcPr>
          <w:p>
            <w:pPr>
              <w:pStyle w:val="TableParagraph"/>
              <w:spacing w:before="77"/>
              <w:ind w:left="247"/>
              <w:rPr>
                <w:sz w:val="19"/>
              </w:rPr>
            </w:pPr>
            <w:r>
              <w:rPr>
                <w:color w:val="C00000"/>
                <w:sz w:val="19"/>
              </w:rPr>
              <w:t>Student</w:t>
            </w:r>
            <w:r>
              <w:rPr>
                <w:color w:val="C00000"/>
                <w:spacing w:val="-5"/>
                <w:sz w:val="19"/>
              </w:rPr>
              <w:t> </w:t>
            </w:r>
            <w:r>
              <w:rPr>
                <w:color w:val="C00000"/>
                <w:sz w:val="19"/>
              </w:rPr>
              <w:t>Union</w:t>
            </w:r>
            <w:r>
              <w:rPr>
                <w:color w:val="C00000"/>
                <w:spacing w:val="-6"/>
                <w:sz w:val="19"/>
              </w:rPr>
              <w:t> </w:t>
            </w:r>
            <w:r>
              <w:rPr>
                <w:color w:val="C00000"/>
                <w:spacing w:val="-5"/>
                <w:sz w:val="19"/>
              </w:rPr>
              <w:t>Fee</w:t>
            </w:r>
          </w:p>
        </w:tc>
        <w:tc>
          <w:tcPr>
            <w:tcW w:w="1576" w:type="dxa"/>
          </w:tcPr>
          <w:p>
            <w:pPr>
              <w:pStyle w:val="TableParagraph"/>
              <w:spacing w:before="77"/>
              <w:ind w:left="560" w:right="546"/>
              <w:jc w:val="center"/>
              <w:rPr>
                <w:sz w:val="19"/>
              </w:rPr>
            </w:pPr>
            <w:r>
              <w:rPr>
                <w:color w:val="C00000"/>
                <w:spacing w:val="-2"/>
                <w:sz w:val="19"/>
              </w:rPr>
              <w:t>$4.24</w:t>
            </w:r>
          </w:p>
        </w:tc>
        <w:tc>
          <w:tcPr>
            <w:tcW w:w="1638" w:type="dxa"/>
          </w:tcPr>
          <w:p>
            <w:pPr>
              <w:pStyle w:val="TableParagraph"/>
              <w:spacing w:before="77"/>
              <w:ind w:left="147" w:right="64"/>
              <w:jc w:val="center"/>
              <w:rPr>
                <w:sz w:val="19"/>
              </w:rPr>
            </w:pPr>
            <w:r>
              <w:rPr>
                <w:color w:val="C00000"/>
                <w:spacing w:val="-2"/>
                <w:sz w:val="19"/>
              </w:rPr>
              <w:t>$4.24</w:t>
            </w:r>
          </w:p>
        </w:tc>
        <w:tc>
          <w:tcPr>
            <w:tcW w:w="1888" w:type="dxa"/>
          </w:tcPr>
          <w:p>
            <w:pPr>
              <w:pStyle w:val="TableParagraph"/>
              <w:spacing w:before="77"/>
              <w:ind w:left="630" w:right="545"/>
              <w:jc w:val="center"/>
              <w:rPr>
                <w:sz w:val="19"/>
              </w:rPr>
            </w:pPr>
            <w:r>
              <w:rPr>
                <w:color w:val="C00000"/>
                <w:spacing w:val="-2"/>
                <w:sz w:val="19"/>
              </w:rPr>
              <w:t>$4.24</w:t>
            </w:r>
          </w:p>
        </w:tc>
        <w:tc>
          <w:tcPr>
            <w:tcW w:w="2070" w:type="dxa"/>
          </w:tcPr>
          <w:p>
            <w:pPr>
              <w:pStyle w:val="TableParagraph"/>
              <w:spacing w:before="77"/>
              <w:ind w:left="724" w:right="637"/>
              <w:jc w:val="center"/>
              <w:rPr>
                <w:sz w:val="19"/>
              </w:rPr>
            </w:pPr>
            <w:r>
              <w:rPr>
                <w:color w:val="C00000"/>
                <w:spacing w:val="-2"/>
                <w:sz w:val="19"/>
              </w:rPr>
              <w:t>$4.24</w:t>
            </w:r>
          </w:p>
        </w:tc>
      </w:tr>
      <w:tr>
        <w:trPr>
          <w:trHeight w:val="462" w:hRule="atLeast"/>
        </w:trPr>
        <w:tc>
          <w:tcPr>
            <w:tcW w:w="2426" w:type="dxa"/>
          </w:tcPr>
          <w:p>
            <w:pPr>
              <w:pStyle w:val="TableParagraph"/>
              <w:spacing w:before="10"/>
              <w:rPr>
                <w:sz w:val="20"/>
              </w:rPr>
            </w:pPr>
          </w:p>
          <w:p>
            <w:pPr>
              <w:pStyle w:val="TableParagraph"/>
              <w:spacing w:line="203" w:lineRule="exact"/>
              <w:ind w:left="247"/>
              <w:rPr>
                <w:sz w:val="19"/>
              </w:rPr>
            </w:pPr>
            <w:r>
              <w:rPr>
                <w:spacing w:val="-2"/>
                <w:sz w:val="19"/>
              </w:rPr>
              <w:t>Health</w:t>
            </w:r>
          </w:p>
        </w:tc>
        <w:tc>
          <w:tcPr>
            <w:tcW w:w="1576" w:type="dxa"/>
          </w:tcPr>
          <w:p>
            <w:pPr>
              <w:pStyle w:val="TableParagraph"/>
              <w:ind w:left="560" w:right="544"/>
              <w:jc w:val="center"/>
              <w:rPr>
                <w:sz w:val="19"/>
              </w:rPr>
            </w:pPr>
            <w:r>
              <w:rPr>
                <w:spacing w:val="-2"/>
                <w:sz w:val="19"/>
              </w:rPr>
              <w:t>$</w:t>
            </w:r>
            <w:r>
              <w:rPr>
                <w:strike/>
                <w:color w:val="0101FF"/>
                <w:spacing w:val="-2"/>
                <w:sz w:val="19"/>
              </w:rPr>
              <w:t>5.48</w:t>
            </w:r>
            <w:r>
              <w:rPr>
                <w:strike w:val="0"/>
                <w:color w:val="0101FF"/>
                <w:spacing w:val="-2"/>
                <w:sz w:val="19"/>
              </w:rPr>
              <w:t> </w:t>
            </w:r>
            <w:r>
              <w:rPr>
                <w:strike w:val="0"/>
                <w:color w:val="0101FF"/>
                <w:spacing w:val="-4"/>
                <w:sz w:val="19"/>
              </w:rPr>
              <w:t>5.07</w:t>
            </w:r>
          </w:p>
        </w:tc>
        <w:tc>
          <w:tcPr>
            <w:tcW w:w="1638" w:type="dxa"/>
          </w:tcPr>
          <w:p>
            <w:pPr>
              <w:pStyle w:val="TableParagraph"/>
              <w:ind w:left="605" w:right="592"/>
              <w:jc w:val="center"/>
              <w:rPr>
                <w:sz w:val="19"/>
              </w:rPr>
            </w:pPr>
            <w:r>
              <w:rPr>
                <w:spacing w:val="-2"/>
                <w:sz w:val="19"/>
              </w:rPr>
              <w:t>$</w:t>
            </w:r>
            <w:r>
              <w:rPr>
                <w:strike/>
                <w:color w:val="0101FF"/>
                <w:spacing w:val="-2"/>
                <w:sz w:val="19"/>
              </w:rPr>
              <w:t>5.48</w:t>
            </w:r>
            <w:r>
              <w:rPr>
                <w:strike w:val="0"/>
                <w:color w:val="0101FF"/>
                <w:spacing w:val="-2"/>
                <w:sz w:val="19"/>
              </w:rPr>
              <w:t> </w:t>
            </w:r>
            <w:r>
              <w:rPr>
                <w:strike w:val="0"/>
                <w:color w:val="0101FF"/>
                <w:spacing w:val="-4"/>
                <w:sz w:val="19"/>
              </w:rPr>
              <w:t>5.07</w:t>
            </w:r>
          </w:p>
        </w:tc>
        <w:tc>
          <w:tcPr>
            <w:tcW w:w="1888" w:type="dxa"/>
          </w:tcPr>
          <w:p>
            <w:pPr>
              <w:pStyle w:val="TableParagraph"/>
              <w:ind w:left="630" w:right="615"/>
              <w:jc w:val="center"/>
              <w:rPr>
                <w:sz w:val="19"/>
              </w:rPr>
            </w:pPr>
            <w:r>
              <w:rPr>
                <w:spacing w:val="-2"/>
                <w:sz w:val="19"/>
              </w:rPr>
              <w:t>$</w:t>
            </w:r>
            <w:r>
              <w:rPr>
                <w:strike/>
                <w:color w:val="0101FF"/>
                <w:spacing w:val="-2"/>
                <w:sz w:val="19"/>
              </w:rPr>
              <w:t>5.48</w:t>
            </w:r>
            <w:r>
              <w:rPr>
                <w:strike w:val="0"/>
                <w:color w:val="0101FF"/>
                <w:spacing w:val="-2"/>
                <w:sz w:val="19"/>
              </w:rPr>
              <w:t> </w:t>
            </w:r>
            <w:r>
              <w:rPr>
                <w:strike w:val="0"/>
                <w:color w:val="0101FF"/>
                <w:spacing w:val="-4"/>
                <w:sz w:val="19"/>
              </w:rPr>
              <w:t>5.07</w:t>
            </w:r>
          </w:p>
        </w:tc>
        <w:tc>
          <w:tcPr>
            <w:tcW w:w="2070" w:type="dxa"/>
          </w:tcPr>
          <w:p>
            <w:pPr>
              <w:pStyle w:val="TableParagraph"/>
              <w:ind w:left="723" w:right="702"/>
              <w:jc w:val="center"/>
              <w:rPr>
                <w:sz w:val="19"/>
              </w:rPr>
            </w:pPr>
            <w:r>
              <w:rPr>
                <w:sz w:val="19"/>
              </w:rPr>
              <w:t>$ </w:t>
            </w:r>
            <w:r>
              <w:rPr>
                <w:strike/>
                <w:color w:val="0101FF"/>
                <w:spacing w:val="-4"/>
                <w:sz w:val="19"/>
              </w:rPr>
              <w:t>5.48</w:t>
            </w:r>
          </w:p>
          <w:p>
            <w:pPr>
              <w:pStyle w:val="TableParagraph"/>
              <w:ind w:left="721" w:right="702"/>
              <w:jc w:val="center"/>
              <w:rPr>
                <w:sz w:val="19"/>
              </w:rPr>
            </w:pPr>
            <w:r>
              <w:rPr>
                <w:color w:val="0101FF"/>
                <w:spacing w:val="-4"/>
                <w:sz w:val="19"/>
              </w:rPr>
              <w:t>5.07</w:t>
            </w:r>
          </w:p>
        </w:tc>
      </w:tr>
      <w:tr>
        <w:trPr>
          <w:trHeight w:val="359" w:hRule="atLeast"/>
        </w:trPr>
        <w:tc>
          <w:tcPr>
            <w:tcW w:w="2426" w:type="dxa"/>
            <w:tcBorders>
              <w:bottom w:val="nil"/>
            </w:tcBorders>
          </w:tcPr>
          <w:p>
            <w:pPr>
              <w:pStyle w:val="TableParagraph"/>
              <w:spacing w:before="91"/>
              <w:ind w:left="247"/>
              <w:rPr>
                <w:sz w:val="19"/>
              </w:rPr>
            </w:pPr>
            <w:r>
              <w:rPr>
                <w:spacing w:val="-2"/>
                <w:sz w:val="19"/>
              </w:rPr>
              <w:t>Athletic</w:t>
            </w:r>
          </w:p>
        </w:tc>
        <w:tc>
          <w:tcPr>
            <w:tcW w:w="1576" w:type="dxa"/>
            <w:tcBorders>
              <w:bottom w:val="nil"/>
            </w:tcBorders>
          </w:tcPr>
          <w:p>
            <w:pPr>
              <w:pStyle w:val="TableParagraph"/>
              <w:spacing w:before="91"/>
              <w:ind w:left="528"/>
              <w:rPr>
                <w:sz w:val="19"/>
              </w:rPr>
            </w:pPr>
            <w:r>
              <w:rPr>
                <w:spacing w:val="-2"/>
                <w:sz w:val="19"/>
              </w:rPr>
              <w:t>$</w:t>
            </w:r>
            <w:r>
              <w:rPr>
                <w:strike/>
                <w:color w:val="0101FF"/>
                <w:spacing w:val="-2"/>
                <w:sz w:val="19"/>
              </w:rPr>
              <w:t>10.00</w:t>
            </w:r>
          </w:p>
        </w:tc>
        <w:tc>
          <w:tcPr>
            <w:tcW w:w="1638" w:type="dxa"/>
            <w:tcBorders>
              <w:bottom w:val="nil"/>
            </w:tcBorders>
          </w:tcPr>
          <w:p>
            <w:pPr>
              <w:pStyle w:val="TableParagraph"/>
              <w:spacing w:before="91"/>
              <w:ind w:left="145" w:right="133"/>
              <w:jc w:val="center"/>
              <w:rPr>
                <w:sz w:val="19"/>
              </w:rPr>
            </w:pPr>
            <w:r>
              <w:rPr>
                <w:spacing w:val="-2"/>
                <w:sz w:val="19"/>
              </w:rPr>
              <w:t>$</w:t>
            </w:r>
            <w:r>
              <w:rPr>
                <w:strike/>
                <w:color w:val="0101FF"/>
                <w:spacing w:val="-2"/>
                <w:sz w:val="19"/>
              </w:rPr>
              <w:t>10.00</w:t>
            </w:r>
          </w:p>
        </w:tc>
        <w:tc>
          <w:tcPr>
            <w:tcW w:w="1888" w:type="dxa"/>
            <w:tcBorders>
              <w:bottom w:val="nil"/>
            </w:tcBorders>
          </w:tcPr>
          <w:p>
            <w:pPr>
              <w:pStyle w:val="TableParagraph"/>
              <w:spacing w:before="91"/>
              <w:ind w:left="629" w:right="615"/>
              <w:jc w:val="center"/>
              <w:rPr>
                <w:sz w:val="19"/>
              </w:rPr>
            </w:pPr>
            <w:r>
              <w:rPr>
                <w:spacing w:val="-2"/>
                <w:sz w:val="19"/>
              </w:rPr>
              <w:t>$</w:t>
            </w:r>
            <w:r>
              <w:rPr>
                <w:strike/>
                <w:color w:val="0101FF"/>
                <w:spacing w:val="-2"/>
                <w:sz w:val="19"/>
              </w:rPr>
              <w:t>10.00</w:t>
            </w:r>
          </w:p>
        </w:tc>
        <w:tc>
          <w:tcPr>
            <w:tcW w:w="2070" w:type="dxa"/>
            <w:tcBorders>
              <w:bottom w:val="nil"/>
            </w:tcBorders>
          </w:tcPr>
          <w:p>
            <w:pPr>
              <w:pStyle w:val="TableParagraph"/>
              <w:spacing w:before="91"/>
              <w:ind w:left="723" w:right="702"/>
              <w:jc w:val="center"/>
              <w:rPr>
                <w:sz w:val="19"/>
              </w:rPr>
            </w:pPr>
            <w:r>
              <w:rPr>
                <w:sz w:val="19"/>
              </w:rPr>
              <w:t>$ </w:t>
            </w:r>
            <w:r>
              <w:rPr>
                <w:strike/>
                <w:color w:val="0101FF"/>
                <w:spacing w:val="-2"/>
                <w:sz w:val="19"/>
              </w:rPr>
              <w:t>10.00</w:t>
            </w:r>
          </w:p>
        </w:tc>
      </w:tr>
      <w:tr>
        <w:trPr>
          <w:trHeight w:val="259" w:hRule="atLeast"/>
        </w:trPr>
        <w:tc>
          <w:tcPr>
            <w:tcW w:w="2426" w:type="dxa"/>
            <w:tcBorders>
              <w:top w:val="nil"/>
            </w:tcBorders>
          </w:tcPr>
          <w:p>
            <w:pPr>
              <w:pStyle w:val="TableParagraph"/>
              <w:rPr>
                <w:sz w:val="18"/>
              </w:rPr>
            </w:pPr>
          </w:p>
        </w:tc>
        <w:tc>
          <w:tcPr>
            <w:tcW w:w="1576" w:type="dxa"/>
            <w:tcBorders>
              <w:top w:val="nil"/>
            </w:tcBorders>
          </w:tcPr>
          <w:p>
            <w:pPr>
              <w:pStyle w:val="TableParagraph"/>
              <w:spacing w:line="198" w:lineRule="exact" w:before="41"/>
              <w:ind w:left="560" w:right="546"/>
              <w:jc w:val="center"/>
              <w:rPr>
                <w:sz w:val="19"/>
              </w:rPr>
            </w:pPr>
            <w:r>
              <w:rPr>
                <w:color w:val="0101FF"/>
                <w:spacing w:val="-2"/>
                <w:sz w:val="19"/>
              </w:rPr>
              <w:t>12.25</w:t>
            </w:r>
          </w:p>
        </w:tc>
        <w:tc>
          <w:tcPr>
            <w:tcW w:w="1638" w:type="dxa"/>
            <w:tcBorders>
              <w:top w:val="nil"/>
            </w:tcBorders>
          </w:tcPr>
          <w:p>
            <w:pPr>
              <w:pStyle w:val="TableParagraph"/>
              <w:spacing w:line="198" w:lineRule="exact" w:before="41"/>
              <w:ind w:left="144" w:right="133"/>
              <w:jc w:val="center"/>
              <w:rPr>
                <w:sz w:val="19"/>
              </w:rPr>
            </w:pPr>
            <w:r>
              <w:rPr>
                <w:color w:val="0101FF"/>
                <w:spacing w:val="-2"/>
                <w:sz w:val="19"/>
              </w:rPr>
              <w:t>12.25</w:t>
            </w:r>
          </w:p>
        </w:tc>
        <w:tc>
          <w:tcPr>
            <w:tcW w:w="1888" w:type="dxa"/>
            <w:tcBorders>
              <w:top w:val="nil"/>
            </w:tcBorders>
          </w:tcPr>
          <w:p>
            <w:pPr>
              <w:pStyle w:val="TableParagraph"/>
              <w:spacing w:line="198" w:lineRule="exact" w:before="41"/>
              <w:ind w:left="628" w:right="615"/>
              <w:jc w:val="center"/>
              <w:rPr>
                <w:sz w:val="19"/>
              </w:rPr>
            </w:pPr>
            <w:r>
              <w:rPr>
                <w:color w:val="0101FF"/>
                <w:spacing w:val="-2"/>
                <w:sz w:val="19"/>
              </w:rPr>
              <w:t>12.25</w:t>
            </w:r>
          </w:p>
        </w:tc>
        <w:tc>
          <w:tcPr>
            <w:tcW w:w="2070" w:type="dxa"/>
            <w:tcBorders>
              <w:top w:val="nil"/>
            </w:tcBorders>
          </w:tcPr>
          <w:p>
            <w:pPr>
              <w:pStyle w:val="TableParagraph"/>
              <w:spacing w:line="198" w:lineRule="exact" w:before="41"/>
              <w:ind w:left="722" w:right="702"/>
              <w:jc w:val="center"/>
              <w:rPr>
                <w:sz w:val="19"/>
              </w:rPr>
            </w:pPr>
            <w:r>
              <w:rPr>
                <w:color w:val="0101FF"/>
                <w:spacing w:val="-2"/>
                <w:sz w:val="19"/>
              </w:rPr>
              <w:t>12.25</w:t>
            </w:r>
          </w:p>
        </w:tc>
      </w:tr>
      <w:tr>
        <w:trPr>
          <w:trHeight w:val="351" w:hRule="atLeast"/>
        </w:trPr>
        <w:tc>
          <w:tcPr>
            <w:tcW w:w="2426" w:type="dxa"/>
            <w:tcBorders>
              <w:bottom w:val="nil"/>
            </w:tcBorders>
          </w:tcPr>
          <w:p>
            <w:pPr>
              <w:pStyle w:val="TableParagraph"/>
              <w:spacing w:before="98"/>
              <w:ind w:left="355"/>
              <w:rPr>
                <w:sz w:val="19"/>
              </w:rPr>
            </w:pPr>
            <w:r>
              <w:rPr>
                <w:spacing w:val="-2"/>
                <w:sz w:val="19"/>
              </w:rPr>
              <w:t>Total</w:t>
            </w:r>
          </w:p>
        </w:tc>
        <w:tc>
          <w:tcPr>
            <w:tcW w:w="1576" w:type="dxa"/>
            <w:tcBorders>
              <w:bottom w:val="nil"/>
            </w:tcBorders>
          </w:tcPr>
          <w:p>
            <w:pPr>
              <w:pStyle w:val="TableParagraph"/>
              <w:spacing w:before="65"/>
              <w:ind w:left="487"/>
              <w:rPr>
                <w:sz w:val="22"/>
              </w:rPr>
            </w:pPr>
            <w:r>
              <w:rPr>
                <w:spacing w:val="-2"/>
                <w:sz w:val="22"/>
              </w:rPr>
              <w:t>$</w:t>
            </w:r>
            <w:r>
              <w:rPr>
                <w:strike/>
                <w:color w:val="0101FF"/>
                <w:spacing w:val="-2"/>
                <w:sz w:val="22"/>
              </w:rPr>
              <w:t>97.10</w:t>
            </w:r>
          </w:p>
        </w:tc>
        <w:tc>
          <w:tcPr>
            <w:tcW w:w="1638" w:type="dxa"/>
            <w:tcBorders>
              <w:bottom w:val="nil"/>
            </w:tcBorders>
          </w:tcPr>
          <w:p>
            <w:pPr>
              <w:pStyle w:val="TableParagraph"/>
              <w:spacing w:before="65"/>
              <w:ind w:right="446"/>
              <w:jc w:val="right"/>
              <w:rPr>
                <w:sz w:val="22"/>
              </w:rPr>
            </w:pPr>
            <w:r>
              <w:rPr>
                <w:spacing w:val="-2"/>
                <w:sz w:val="22"/>
              </w:rPr>
              <w:t>$</w:t>
            </w:r>
            <w:r>
              <w:rPr>
                <w:strike/>
                <w:color w:val="0101FF"/>
                <w:spacing w:val="-2"/>
                <w:sz w:val="22"/>
              </w:rPr>
              <w:t>442.27</w:t>
            </w:r>
          </w:p>
        </w:tc>
        <w:tc>
          <w:tcPr>
            <w:tcW w:w="1888" w:type="dxa"/>
            <w:tcBorders>
              <w:bottom w:val="nil"/>
            </w:tcBorders>
          </w:tcPr>
          <w:p>
            <w:pPr>
              <w:pStyle w:val="TableParagraph"/>
              <w:spacing w:before="65"/>
              <w:ind w:left="587"/>
              <w:rPr>
                <w:sz w:val="22"/>
              </w:rPr>
            </w:pPr>
            <w:r>
              <w:rPr>
                <w:spacing w:val="-2"/>
                <w:sz w:val="22"/>
              </w:rPr>
              <w:t>$</w:t>
            </w:r>
            <w:r>
              <w:rPr>
                <w:strike/>
                <w:color w:val="0101FF"/>
                <w:spacing w:val="-2"/>
                <w:sz w:val="22"/>
              </w:rPr>
              <w:t>208.44</w:t>
            </w:r>
          </w:p>
        </w:tc>
        <w:tc>
          <w:tcPr>
            <w:tcW w:w="2070" w:type="dxa"/>
            <w:tcBorders>
              <w:bottom w:val="nil"/>
            </w:tcBorders>
          </w:tcPr>
          <w:p>
            <w:pPr>
              <w:pStyle w:val="TableParagraph"/>
              <w:spacing w:before="65"/>
              <w:ind w:left="682"/>
              <w:rPr>
                <w:sz w:val="22"/>
              </w:rPr>
            </w:pPr>
            <w:r>
              <w:rPr>
                <w:spacing w:val="-2"/>
                <w:sz w:val="22"/>
              </w:rPr>
              <w:t>$</w:t>
            </w:r>
            <w:r>
              <w:rPr>
                <w:strike/>
                <w:color w:val="0101FF"/>
                <w:spacing w:val="-2"/>
                <w:sz w:val="22"/>
              </w:rPr>
              <w:t>742.97</w:t>
            </w:r>
          </w:p>
        </w:tc>
      </w:tr>
      <w:tr>
        <w:trPr>
          <w:trHeight w:val="269" w:hRule="atLeast"/>
        </w:trPr>
        <w:tc>
          <w:tcPr>
            <w:tcW w:w="2426" w:type="dxa"/>
            <w:tcBorders>
              <w:top w:val="nil"/>
            </w:tcBorders>
          </w:tcPr>
          <w:p>
            <w:pPr>
              <w:pStyle w:val="TableParagraph"/>
              <w:rPr>
                <w:sz w:val="18"/>
              </w:rPr>
            </w:pPr>
          </w:p>
        </w:tc>
        <w:tc>
          <w:tcPr>
            <w:tcW w:w="1576" w:type="dxa"/>
            <w:tcBorders>
              <w:top w:val="nil"/>
            </w:tcBorders>
          </w:tcPr>
          <w:p>
            <w:pPr>
              <w:pStyle w:val="TableParagraph"/>
              <w:spacing w:line="226" w:lineRule="exact" w:before="24"/>
              <w:ind w:left="487"/>
              <w:rPr>
                <w:sz w:val="22"/>
              </w:rPr>
            </w:pPr>
            <w:r>
              <w:rPr>
                <w:color w:val="C00000"/>
                <w:spacing w:val="-2"/>
                <w:sz w:val="22"/>
              </w:rPr>
              <w:t>108.95</w:t>
            </w:r>
          </w:p>
        </w:tc>
        <w:tc>
          <w:tcPr>
            <w:tcW w:w="1638" w:type="dxa"/>
            <w:tcBorders>
              <w:top w:val="nil"/>
            </w:tcBorders>
          </w:tcPr>
          <w:p>
            <w:pPr>
              <w:pStyle w:val="TableParagraph"/>
              <w:spacing w:line="226" w:lineRule="exact" w:before="24"/>
              <w:ind w:right="501"/>
              <w:jc w:val="right"/>
              <w:rPr>
                <w:sz w:val="22"/>
              </w:rPr>
            </w:pPr>
            <w:r>
              <w:rPr>
                <w:color w:val="C00000"/>
                <w:spacing w:val="-2"/>
                <w:sz w:val="22"/>
              </w:rPr>
              <w:t>497.02</w:t>
            </w:r>
          </w:p>
        </w:tc>
        <w:tc>
          <w:tcPr>
            <w:tcW w:w="1888" w:type="dxa"/>
            <w:tcBorders>
              <w:top w:val="nil"/>
            </w:tcBorders>
          </w:tcPr>
          <w:p>
            <w:pPr>
              <w:pStyle w:val="TableParagraph"/>
              <w:spacing w:line="226" w:lineRule="exact" w:before="24"/>
              <w:ind w:left="630" w:right="615"/>
              <w:jc w:val="center"/>
              <w:rPr>
                <w:sz w:val="22"/>
              </w:rPr>
            </w:pPr>
            <w:r>
              <w:rPr>
                <w:color w:val="C00000"/>
                <w:spacing w:val="-2"/>
                <w:sz w:val="22"/>
              </w:rPr>
              <w:t>239.21</w:t>
            </w:r>
          </w:p>
        </w:tc>
        <w:tc>
          <w:tcPr>
            <w:tcW w:w="2070" w:type="dxa"/>
            <w:tcBorders>
              <w:top w:val="nil"/>
            </w:tcBorders>
          </w:tcPr>
          <w:p>
            <w:pPr>
              <w:pStyle w:val="TableParagraph"/>
              <w:spacing w:line="226" w:lineRule="exact" w:before="24"/>
              <w:ind w:left="724" w:right="702"/>
              <w:jc w:val="center"/>
              <w:rPr>
                <w:sz w:val="22"/>
              </w:rPr>
            </w:pPr>
            <w:r>
              <w:rPr>
                <w:color w:val="C00000"/>
                <w:spacing w:val="-2"/>
                <w:sz w:val="22"/>
              </w:rPr>
              <w:t>835.31</w:t>
            </w:r>
          </w:p>
        </w:tc>
      </w:tr>
    </w:tbl>
    <w:p>
      <w:pPr>
        <w:pStyle w:val="BodyText"/>
        <w:rPr>
          <w:sz w:val="20"/>
        </w:rPr>
      </w:pPr>
    </w:p>
    <w:p>
      <w:pPr>
        <w:pStyle w:val="BodyText"/>
        <w:spacing w:before="5"/>
        <w:rPr>
          <w:sz w:val="20"/>
        </w:rPr>
      </w:pPr>
    </w:p>
    <w:p>
      <w:pPr>
        <w:pStyle w:val="ListParagraph"/>
        <w:numPr>
          <w:ilvl w:val="1"/>
          <w:numId w:val="1"/>
        </w:numPr>
        <w:tabs>
          <w:tab w:pos="1301" w:val="left" w:leader="none"/>
        </w:tabs>
        <w:spacing w:line="240" w:lineRule="auto" w:before="0" w:after="0"/>
        <w:ind w:left="1300" w:right="0" w:hanging="354"/>
        <w:jc w:val="left"/>
        <w:rPr>
          <w:sz w:val="19"/>
        </w:rPr>
      </w:pPr>
      <w:r>
        <w:rPr>
          <w:sz w:val="19"/>
        </w:rPr>
        <w:t>Pursuant</w:t>
      </w:r>
      <w:r>
        <w:rPr>
          <w:spacing w:val="-7"/>
          <w:sz w:val="19"/>
        </w:rPr>
        <w:t> </w:t>
      </w:r>
      <w:r>
        <w:rPr>
          <w:sz w:val="19"/>
        </w:rPr>
        <w:t>to</w:t>
      </w:r>
      <w:r>
        <w:rPr>
          <w:spacing w:val="-5"/>
          <w:sz w:val="19"/>
        </w:rPr>
        <w:t> </w:t>
      </w:r>
      <w:r>
        <w:rPr>
          <w:sz w:val="19"/>
        </w:rPr>
        <w:t>Section</w:t>
      </w:r>
      <w:r>
        <w:rPr>
          <w:spacing w:val="-7"/>
          <w:sz w:val="19"/>
        </w:rPr>
        <w:t> </w:t>
      </w:r>
      <w:r>
        <w:rPr>
          <w:sz w:val="19"/>
        </w:rPr>
        <w:t>1009.285</w:t>
      </w:r>
      <w:r>
        <w:rPr>
          <w:spacing w:val="-5"/>
          <w:sz w:val="19"/>
        </w:rPr>
        <w:t> </w:t>
      </w:r>
      <w:r>
        <w:rPr>
          <w:sz w:val="19"/>
        </w:rPr>
        <w:t>F.S.,</w:t>
      </w:r>
      <w:r>
        <w:rPr>
          <w:spacing w:val="-5"/>
          <w:sz w:val="19"/>
        </w:rPr>
        <w:t> </w:t>
      </w:r>
      <w:r>
        <w:rPr>
          <w:sz w:val="19"/>
        </w:rPr>
        <w:t>each</w:t>
      </w:r>
      <w:r>
        <w:rPr>
          <w:spacing w:val="-5"/>
          <w:sz w:val="19"/>
        </w:rPr>
        <w:t> </w:t>
      </w:r>
      <w:r>
        <w:rPr>
          <w:sz w:val="19"/>
        </w:rPr>
        <w:t>student</w:t>
      </w:r>
      <w:r>
        <w:rPr>
          <w:spacing w:val="-6"/>
          <w:sz w:val="19"/>
        </w:rPr>
        <w:t> </w:t>
      </w:r>
      <w:r>
        <w:rPr>
          <w:sz w:val="19"/>
        </w:rPr>
        <w:t>enrolled</w:t>
      </w:r>
      <w:r>
        <w:rPr>
          <w:spacing w:val="-5"/>
          <w:sz w:val="19"/>
        </w:rPr>
        <w:t> </w:t>
      </w:r>
      <w:r>
        <w:rPr>
          <w:sz w:val="19"/>
        </w:rPr>
        <w:t>in</w:t>
      </w:r>
      <w:r>
        <w:rPr>
          <w:spacing w:val="-5"/>
          <w:sz w:val="19"/>
        </w:rPr>
        <w:t> </w:t>
      </w:r>
      <w:r>
        <w:rPr>
          <w:sz w:val="19"/>
        </w:rPr>
        <w:t>the</w:t>
      </w:r>
      <w:r>
        <w:rPr>
          <w:spacing w:val="-9"/>
          <w:sz w:val="19"/>
        </w:rPr>
        <w:t> </w:t>
      </w:r>
      <w:r>
        <w:rPr>
          <w:sz w:val="19"/>
        </w:rPr>
        <w:t>same</w:t>
      </w:r>
      <w:r>
        <w:rPr>
          <w:spacing w:val="-6"/>
          <w:sz w:val="19"/>
        </w:rPr>
        <w:t> </w:t>
      </w:r>
      <w:r>
        <w:rPr>
          <w:spacing w:val="-2"/>
          <w:sz w:val="19"/>
        </w:rPr>
        <w:t>undergraduate</w:t>
      </w:r>
    </w:p>
    <w:p>
      <w:pPr>
        <w:spacing w:after="0" w:line="240" w:lineRule="auto"/>
        <w:jc w:val="left"/>
        <w:rPr>
          <w:sz w:val="19"/>
        </w:rPr>
        <w:sectPr>
          <w:pgSz w:w="12240" w:h="15840"/>
          <w:pgMar w:top="1420" w:bottom="280" w:left="800" w:right="1020"/>
        </w:sectPr>
      </w:pPr>
    </w:p>
    <w:p>
      <w:pPr>
        <w:pStyle w:val="BodyText"/>
        <w:spacing w:before="80"/>
        <w:ind w:left="366"/>
      </w:pPr>
      <w:r>
        <w:rPr/>
        <w:t>course</w:t>
      </w:r>
      <w:r>
        <w:rPr>
          <w:spacing w:val="8"/>
        </w:rPr>
        <w:t> </w:t>
      </w:r>
      <w:r>
        <w:rPr/>
        <w:t>more</w:t>
      </w:r>
      <w:r>
        <w:rPr>
          <w:spacing w:val="8"/>
        </w:rPr>
        <w:t> </w:t>
      </w:r>
      <w:r>
        <w:rPr/>
        <w:t>than</w:t>
      </w:r>
      <w:r>
        <w:rPr>
          <w:spacing w:val="12"/>
        </w:rPr>
        <w:t> </w:t>
      </w:r>
      <w:r>
        <w:rPr/>
        <w:t>twice,</w:t>
      </w:r>
      <w:r>
        <w:rPr>
          <w:spacing w:val="8"/>
        </w:rPr>
        <w:t> </w:t>
      </w:r>
      <w:r>
        <w:rPr/>
        <w:t>shall</w:t>
      </w:r>
      <w:r>
        <w:rPr>
          <w:spacing w:val="6"/>
        </w:rPr>
        <w:t> </w:t>
      </w:r>
      <w:r>
        <w:rPr/>
        <w:t>be</w:t>
      </w:r>
      <w:r>
        <w:rPr>
          <w:spacing w:val="8"/>
        </w:rPr>
        <w:t> </w:t>
      </w:r>
      <w:r>
        <w:rPr/>
        <w:t>assessed</w:t>
      </w:r>
      <w:r>
        <w:rPr>
          <w:spacing w:val="12"/>
        </w:rPr>
        <w:t> </w:t>
      </w:r>
      <w:r>
        <w:rPr/>
        <w:t>an</w:t>
      </w:r>
      <w:r>
        <w:rPr>
          <w:spacing w:val="12"/>
        </w:rPr>
        <w:t> </w:t>
      </w:r>
      <w:r>
        <w:rPr/>
        <w:t>additional</w:t>
      </w:r>
      <w:r>
        <w:rPr>
          <w:spacing w:val="7"/>
        </w:rPr>
        <w:t> </w:t>
      </w:r>
      <w:r>
        <w:rPr/>
        <w:t>$</w:t>
      </w:r>
      <w:r>
        <w:rPr>
          <w:strike/>
          <w:color w:val="0101FF"/>
        </w:rPr>
        <w:t>164.54</w:t>
      </w:r>
      <w:r>
        <w:rPr>
          <w:strike w:val="0"/>
          <w:color w:val="0101FF"/>
          <w:spacing w:val="11"/>
        </w:rPr>
        <w:t> </w:t>
      </w:r>
      <w:r>
        <w:rPr>
          <w:strike w:val="0"/>
          <w:color w:val="C00000"/>
        </w:rPr>
        <w:t>170.22</w:t>
      </w:r>
      <w:r>
        <w:rPr>
          <w:strike w:val="0"/>
          <w:color w:val="C00000"/>
          <w:spacing w:val="7"/>
        </w:rPr>
        <w:t> </w:t>
      </w:r>
      <w:r>
        <w:rPr>
          <w:strike w:val="0"/>
        </w:rPr>
        <w:t>per</w:t>
      </w:r>
      <w:r>
        <w:rPr>
          <w:strike w:val="0"/>
          <w:spacing w:val="9"/>
        </w:rPr>
        <w:t> </w:t>
      </w:r>
      <w:r>
        <w:rPr>
          <w:strike w:val="0"/>
        </w:rPr>
        <w:t>credit</w:t>
      </w:r>
      <w:r>
        <w:rPr>
          <w:strike w:val="0"/>
          <w:spacing w:val="8"/>
        </w:rPr>
        <w:t> </w:t>
      </w:r>
      <w:r>
        <w:rPr>
          <w:strike w:val="0"/>
        </w:rPr>
        <w:t>hour</w:t>
      </w:r>
      <w:r>
        <w:rPr>
          <w:strike w:val="0"/>
          <w:spacing w:val="9"/>
        </w:rPr>
        <w:t> </w:t>
      </w:r>
      <w:r>
        <w:rPr>
          <w:strike w:val="0"/>
        </w:rPr>
        <w:t>charge</w:t>
      </w:r>
      <w:r>
        <w:rPr>
          <w:strike w:val="0"/>
          <w:spacing w:val="8"/>
        </w:rPr>
        <w:t> </w:t>
      </w:r>
      <w:r>
        <w:rPr>
          <w:strike w:val="0"/>
          <w:spacing w:val="-5"/>
        </w:rPr>
        <w:t>in</w:t>
      </w:r>
    </w:p>
    <w:p>
      <w:pPr>
        <w:pStyle w:val="BodyText"/>
        <w:spacing w:before="5"/>
        <w:rPr>
          <w:sz w:val="11"/>
        </w:rPr>
      </w:pPr>
    </w:p>
    <w:p>
      <w:pPr>
        <w:pStyle w:val="BodyText"/>
        <w:spacing w:before="92"/>
        <w:ind w:left="366"/>
      </w:pPr>
      <w:r>
        <w:rPr/>
        <w:t>addition</w:t>
      </w:r>
      <w:r>
        <w:rPr>
          <w:spacing w:val="-5"/>
        </w:rPr>
        <w:t> </w:t>
      </w:r>
      <w:r>
        <w:rPr/>
        <w:t>to</w:t>
      </w:r>
      <w:r>
        <w:rPr>
          <w:spacing w:val="-5"/>
        </w:rPr>
        <w:t> </w:t>
      </w:r>
      <w:r>
        <w:rPr/>
        <w:t>the</w:t>
      </w:r>
      <w:r>
        <w:rPr>
          <w:spacing w:val="-5"/>
        </w:rPr>
        <w:t> </w:t>
      </w:r>
      <w:r>
        <w:rPr/>
        <w:t>fees</w:t>
      </w:r>
      <w:r>
        <w:rPr>
          <w:spacing w:val="-5"/>
        </w:rPr>
        <w:t> </w:t>
      </w:r>
      <w:r>
        <w:rPr/>
        <w:t>outlined</w:t>
      </w:r>
      <w:r>
        <w:rPr>
          <w:spacing w:val="-4"/>
        </w:rPr>
        <w:t> </w:t>
      </w:r>
      <w:r>
        <w:rPr/>
        <w:t>above</w:t>
      </w:r>
      <w:r>
        <w:rPr>
          <w:spacing w:val="-6"/>
        </w:rPr>
        <w:t> </w:t>
      </w:r>
      <w:r>
        <w:rPr/>
        <w:t>in</w:t>
      </w:r>
      <w:r>
        <w:rPr>
          <w:spacing w:val="-6"/>
        </w:rPr>
        <w:t> </w:t>
      </w:r>
      <w:r>
        <w:rPr/>
        <w:t>paragraph</w:t>
      </w:r>
      <w:r>
        <w:rPr>
          <w:spacing w:val="-5"/>
        </w:rPr>
        <w:t> </w:t>
      </w:r>
      <w:r>
        <w:rPr/>
        <w:t>(4)(a)</w:t>
      </w:r>
      <w:r>
        <w:rPr>
          <w:spacing w:val="-6"/>
        </w:rPr>
        <w:t> </w:t>
      </w:r>
      <w:r>
        <w:rPr/>
        <w:t>for</w:t>
      </w:r>
      <w:r>
        <w:rPr>
          <w:spacing w:val="-7"/>
        </w:rPr>
        <w:t> </w:t>
      </w:r>
      <w:r>
        <w:rPr/>
        <w:t>each</w:t>
      </w:r>
      <w:r>
        <w:rPr>
          <w:spacing w:val="-4"/>
        </w:rPr>
        <w:t> </w:t>
      </w:r>
      <w:r>
        <w:rPr>
          <w:spacing w:val="-2"/>
        </w:rPr>
        <w:t>course.</w:t>
      </w:r>
    </w:p>
    <w:p>
      <w:pPr>
        <w:pStyle w:val="BodyText"/>
        <w:spacing w:before="2"/>
        <w:rPr>
          <w:sz w:val="20"/>
        </w:rPr>
      </w:pPr>
    </w:p>
    <w:p>
      <w:pPr>
        <w:tabs>
          <w:tab w:pos="2730" w:val="left" w:leader="none"/>
        </w:tabs>
        <w:spacing w:line="242" w:lineRule="auto" w:before="0"/>
        <w:ind w:left="366" w:right="2869" w:firstLine="0"/>
        <w:jc w:val="left"/>
        <w:rPr>
          <w:i/>
          <w:sz w:val="19"/>
        </w:rPr>
      </w:pPr>
      <w:r>
        <w:rPr>
          <w:i/>
          <w:sz w:val="19"/>
        </w:rPr>
        <w:t>Specific</w:t>
      </w:r>
      <w:r>
        <w:rPr>
          <w:i/>
          <w:spacing w:val="-4"/>
          <w:sz w:val="19"/>
        </w:rPr>
        <w:t> </w:t>
      </w:r>
      <w:r>
        <w:rPr>
          <w:i/>
          <w:sz w:val="19"/>
        </w:rPr>
        <w:t>Authority</w:t>
      </w:r>
      <w:r>
        <w:rPr>
          <w:i/>
          <w:spacing w:val="-4"/>
          <w:sz w:val="19"/>
        </w:rPr>
        <w:t> </w:t>
      </w:r>
      <w:r>
        <w:rPr>
          <w:i/>
          <w:sz w:val="19"/>
        </w:rPr>
        <w:t>1001.74(4),</w:t>
      </w:r>
      <w:r>
        <w:rPr>
          <w:i/>
          <w:spacing w:val="-3"/>
          <w:sz w:val="19"/>
        </w:rPr>
        <w:t> </w:t>
      </w:r>
      <w:r>
        <w:rPr>
          <w:i/>
          <w:sz w:val="19"/>
        </w:rPr>
        <w:t>(11),</w:t>
      </w:r>
      <w:r>
        <w:rPr>
          <w:i/>
          <w:spacing w:val="-3"/>
          <w:sz w:val="19"/>
        </w:rPr>
        <w:t> </w:t>
      </w:r>
      <w:r>
        <w:rPr>
          <w:i/>
          <w:sz w:val="19"/>
        </w:rPr>
        <w:t>FS.</w:t>
      </w:r>
      <w:r>
        <w:rPr>
          <w:i/>
          <w:spacing w:val="-3"/>
          <w:sz w:val="19"/>
        </w:rPr>
        <w:t> </w:t>
      </w:r>
      <w:r>
        <w:rPr>
          <w:i/>
          <w:sz w:val="19"/>
        </w:rPr>
        <w:t>Law</w:t>
      </w:r>
      <w:r>
        <w:rPr>
          <w:i/>
          <w:spacing w:val="-3"/>
          <w:sz w:val="19"/>
        </w:rPr>
        <w:t> </w:t>
      </w:r>
      <w:r>
        <w:rPr>
          <w:i/>
          <w:sz w:val="19"/>
        </w:rPr>
        <w:t>Implemented</w:t>
      </w:r>
      <w:r>
        <w:rPr>
          <w:i/>
          <w:spacing w:val="-5"/>
          <w:sz w:val="19"/>
        </w:rPr>
        <w:t> </w:t>
      </w:r>
      <w:r>
        <w:rPr>
          <w:i/>
          <w:sz w:val="19"/>
        </w:rPr>
        <w:t>1001.74(11),</w:t>
      </w:r>
      <w:r>
        <w:rPr>
          <w:i/>
          <w:spacing w:val="-6"/>
          <w:sz w:val="19"/>
        </w:rPr>
        <w:t> </w:t>
      </w:r>
      <w:r>
        <w:rPr>
          <w:i/>
          <w:sz w:val="19"/>
        </w:rPr>
        <w:t>1009.24</w:t>
      </w:r>
      <w:r>
        <w:rPr>
          <w:i/>
          <w:spacing w:val="-3"/>
          <w:sz w:val="19"/>
        </w:rPr>
        <w:t> </w:t>
      </w:r>
      <w:r>
        <w:rPr>
          <w:i/>
          <w:sz w:val="19"/>
        </w:rPr>
        <w:t>FS.</w:t>
      </w:r>
      <w:r>
        <w:rPr>
          <w:i/>
          <w:spacing w:val="-3"/>
          <w:sz w:val="19"/>
        </w:rPr>
        <w:t> </w:t>
      </w:r>
      <w:r>
        <w:rPr>
          <w:i/>
          <w:sz w:val="19"/>
        </w:rPr>
        <w:t>History</w:t>
      </w:r>
      <w:r>
        <w:rPr>
          <w:i/>
          <w:spacing w:val="-4"/>
          <w:sz w:val="19"/>
        </w:rPr>
        <w:t> </w:t>
      </w:r>
      <w:r>
        <w:rPr>
          <w:i/>
          <w:sz w:val="19"/>
        </w:rPr>
        <w:t>–</w:t>
      </w:r>
      <w:r>
        <w:rPr>
          <w:i/>
          <w:sz w:val="19"/>
        </w:rPr>
        <w:t> New 5-2-04</w:t>
      </w:r>
      <w:r>
        <w:rPr>
          <w:i/>
          <w:color w:val="C00000"/>
          <w:sz w:val="19"/>
        </w:rPr>
        <w:t>, Amended</w:t>
        <w:tab/>
      </w:r>
      <w:r>
        <w:rPr>
          <w:i/>
          <w:color w:val="C00000"/>
          <w:spacing w:val="-6"/>
          <w:sz w:val="19"/>
        </w:rPr>
        <w:t>..</w:t>
      </w:r>
    </w:p>
    <w:p>
      <w:pPr>
        <w:pStyle w:val="Heading1"/>
        <w:spacing w:before="135"/>
      </w:pPr>
      <w:bookmarkStart w:name="6C9-8.1002 Special Fees, Fines and Penal" w:id="4"/>
      <w:bookmarkEnd w:id="4"/>
      <w:r>
        <w:rPr>
          <w:b w:val="0"/>
        </w:rPr>
      </w:r>
      <w:r>
        <w:rPr/>
        <w:t>6C9-8.1002</w:t>
      </w:r>
      <w:r>
        <w:rPr>
          <w:spacing w:val="-6"/>
        </w:rPr>
        <w:t> </w:t>
      </w:r>
      <w:r>
        <w:rPr/>
        <w:t>Special</w:t>
      </w:r>
      <w:r>
        <w:rPr>
          <w:spacing w:val="-7"/>
        </w:rPr>
        <w:t> </w:t>
      </w:r>
      <w:r>
        <w:rPr/>
        <w:t>Fees,</w:t>
      </w:r>
      <w:r>
        <w:rPr>
          <w:spacing w:val="-6"/>
        </w:rPr>
        <w:t> </w:t>
      </w:r>
      <w:r>
        <w:rPr/>
        <w:t>Fines</w:t>
      </w:r>
      <w:r>
        <w:rPr>
          <w:spacing w:val="-5"/>
        </w:rPr>
        <w:t> </w:t>
      </w:r>
      <w:r>
        <w:rPr/>
        <w:t>and</w:t>
      </w:r>
      <w:r>
        <w:rPr>
          <w:spacing w:val="-7"/>
        </w:rPr>
        <w:t> </w:t>
      </w:r>
      <w:r>
        <w:rPr>
          <w:spacing w:val="-2"/>
        </w:rPr>
        <w:t>Penalties.</w:t>
      </w:r>
    </w:p>
    <w:p>
      <w:pPr>
        <w:pStyle w:val="BodyText"/>
        <w:spacing w:before="9"/>
        <w:rPr>
          <w:b/>
        </w:rPr>
      </w:pPr>
    </w:p>
    <w:p>
      <w:pPr>
        <w:pStyle w:val="BodyText"/>
        <w:spacing w:line="489" w:lineRule="auto"/>
        <w:ind w:left="366" w:right="2664" w:firstLine="580"/>
      </w:pPr>
      <w:r>
        <w:rPr/>
        <w:t>The University of North Florida Board of Trustees</w:t>
      </w:r>
      <w:r>
        <w:rPr>
          <w:spacing w:val="40"/>
        </w:rPr>
        <w:t> </w:t>
      </w:r>
      <w:r>
        <w:rPr/>
        <w:t>must authorize all fees assessed, unless specifically delegated herein to the President. For purposes of clarification, the term “at cost”</w:t>
      </w:r>
      <w:r>
        <w:rPr>
          <w:spacing w:val="-3"/>
        </w:rPr>
        <w:t> </w:t>
      </w:r>
      <w:r>
        <w:rPr/>
        <w:t>or</w:t>
      </w:r>
      <w:r>
        <w:rPr>
          <w:spacing w:val="-4"/>
        </w:rPr>
        <w:t> </w:t>
      </w:r>
      <w:r>
        <w:rPr/>
        <w:t>“cost”</w:t>
      </w:r>
      <w:r>
        <w:rPr>
          <w:spacing w:val="-3"/>
        </w:rPr>
        <w:t> </w:t>
      </w:r>
      <w:r>
        <w:rPr/>
        <w:t>as</w:t>
      </w:r>
      <w:r>
        <w:rPr>
          <w:spacing w:val="-5"/>
        </w:rPr>
        <w:t> </w:t>
      </w:r>
      <w:r>
        <w:rPr/>
        <w:t>used</w:t>
      </w:r>
      <w:r>
        <w:rPr>
          <w:spacing w:val="-4"/>
        </w:rPr>
        <w:t> </w:t>
      </w:r>
      <w:r>
        <w:rPr/>
        <w:t>in</w:t>
      </w:r>
      <w:r>
        <w:rPr>
          <w:spacing w:val="-2"/>
        </w:rPr>
        <w:t> </w:t>
      </w:r>
      <w:r>
        <w:rPr/>
        <w:t>this</w:t>
      </w:r>
      <w:r>
        <w:rPr>
          <w:spacing w:val="-2"/>
        </w:rPr>
        <w:t> </w:t>
      </w:r>
      <w:r>
        <w:rPr/>
        <w:t>regulation</w:t>
      </w:r>
      <w:r>
        <w:rPr>
          <w:spacing w:val="-2"/>
        </w:rPr>
        <w:t> </w:t>
      </w:r>
      <w:r>
        <w:rPr/>
        <w:t>includes</w:t>
      </w:r>
      <w:r>
        <w:rPr>
          <w:spacing w:val="-2"/>
        </w:rPr>
        <w:t> </w:t>
      </w:r>
      <w:r>
        <w:rPr/>
        <w:t>those</w:t>
      </w:r>
      <w:r>
        <w:rPr>
          <w:spacing w:val="-3"/>
        </w:rPr>
        <w:t> </w:t>
      </w:r>
      <w:r>
        <w:rPr/>
        <w:t>increased</w:t>
      </w:r>
      <w:r>
        <w:rPr>
          <w:spacing w:val="-2"/>
        </w:rPr>
        <w:t> </w:t>
      </w:r>
      <w:r>
        <w:rPr/>
        <w:t>costs</w:t>
      </w:r>
      <w:r>
        <w:rPr>
          <w:spacing w:val="-2"/>
        </w:rPr>
        <w:t> </w:t>
      </w:r>
      <w:r>
        <w:rPr/>
        <w:t>that</w:t>
      </w:r>
      <w:r>
        <w:rPr>
          <w:spacing w:val="-3"/>
        </w:rPr>
        <w:t> </w:t>
      </w:r>
      <w:r>
        <w:rPr/>
        <w:t>are</w:t>
      </w:r>
      <w:r>
        <w:rPr>
          <w:spacing w:val="-3"/>
        </w:rPr>
        <w:t> </w:t>
      </w:r>
      <w:r>
        <w:rPr/>
        <w:t>directly</w:t>
      </w:r>
      <w:r>
        <w:rPr>
          <w:spacing w:val="-2"/>
        </w:rPr>
        <w:t> </w:t>
      </w:r>
      <w:r>
        <w:rPr/>
        <w:t>related</w:t>
      </w:r>
      <w:r>
        <w:rPr>
          <w:spacing w:val="-2"/>
        </w:rPr>
        <w:t> </w:t>
      </w:r>
      <w:r>
        <w:rPr/>
        <w:t>to the delivery of the goods or services. The University of North Florida Board of Trustees has delegated authority to the president to set the following fees, except those fees authorized in subsections (32) and (36), below, which require the approval of the</w:t>
      </w:r>
      <w:r>
        <w:rPr>
          <w:spacing w:val="40"/>
        </w:rPr>
        <w:t> </w:t>
      </w:r>
      <w:r>
        <w:rPr/>
        <w:t>board.</w:t>
      </w:r>
    </w:p>
    <w:p>
      <w:pPr>
        <w:pStyle w:val="ListParagraph"/>
        <w:numPr>
          <w:ilvl w:val="0"/>
          <w:numId w:val="3"/>
        </w:numPr>
        <w:tabs>
          <w:tab w:pos="1530" w:val="left" w:leader="none"/>
          <w:tab w:pos="1531" w:val="left" w:leader="none"/>
        </w:tabs>
        <w:spacing w:line="489" w:lineRule="auto" w:before="7" w:after="0"/>
        <w:ind w:left="366" w:right="2929" w:firstLine="580"/>
        <w:jc w:val="left"/>
        <w:rPr>
          <w:sz w:val="19"/>
        </w:rPr>
      </w:pPr>
      <w:r>
        <w:rPr>
          <w:sz w:val="19"/>
        </w:rPr>
        <w:t>Audit Registration Fees – Audit registration assures a course space for the student;</w:t>
      </w:r>
      <w:r>
        <w:rPr>
          <w:spacing w:val="-5"/>
          <w:sz w:val="19"/>
        </w:rPr>
        <w:t> </w:t>
      </w:r>
      <w:r>
        <w:rPr>
          <w:sz w:val="19"/>
        </w:rPr>
        <w:t>however,</w:t>
      </w:r>
      <w:r>
        <w:rPr>
          <w:spacing w:val="-5"/>
          <w:sz w:val="19"/>
        </w:rPr>
        <w:t> </w:t>
      </w:r>
      <w:r>
        <w:rPr>
          <w:sz w:val="19"/>
        </w:rPr>
        <w:t>no</w:t>
      </w:r>
      <w:r>
        <w:rPr>
          <w:spacing w:val="-4"/>
          <w:sz w:val="19"/>
        </w:rPr>
        <w:t> </w:t>
      </w:r>
      <w:r>
        <w:rPr>
          <w:sz w:val="19"/>
        </w:rPr>
        <w:t>grade</w:t>
      </w:r>
      <w:r>
        <w:rPr>
          <w:spacing w:val="-3"/>
          <w:sz w:val="19"/>
        </w:rPr>
        <w:t> </w:t>
      </w:r>
      <w:r>
        <w:rPr>
          <w:sz w:val="19"/>
        </w:rPr>
        <w:t>is</w:t>
      </w:r>
      <w:r>
        <w:rPr>
          <w:spacing w:val="-2"/>
          <w:sz w:val="19"/>
        </w:rPr>
        <w:t> </w:t>
      </w:r>
      <w:r>
        <w:rPr>
          <w:sz w:val="19"/>
        </w:rPr>
        <w:t>awarded.</w:t>
      </w:r>
      <w:r>
        <w:rPr>
          <w:spacing w:val="-2"/>
          <w:sz w:val="19"/>
        </w:rPr>
        <w:t> </w:t>
      </w:r>
      <w:r>
        <w:rPr>
          <w:sz w:val="19"/>
        </w:rPr>
        <w:t>This</w:t>
      </w:r>
      <w:r>
        <w:rPr>
          <w:spacing w:val="-2"/>
          <w:sz w:val="19"/>
        </w:rPr>
        <w:t> </w:t>
      </w:r>
      <w:r>
        <w:rPr>
          <w:sz w:val="19"/>
        </w:rPr>
        <w:t>fee</w:t>
      </w:r>
      <w:r>
        <w:rPr>
          <w:spacing w:val="-3"/>
          <w:sz w:val="19"/>
        </w:rPr>
        <w:t> </w:t>
      </w:r>
      <w:r>
        <w:rPr>
          <w:sz w:val="19"/>
        </w:rPr>
        <w:t>is</w:t>
      </w:r>
      <w:r>
        <w:rPr>
          <w:spacing w:val="-2"/>
          <w:sz w:val="19"/>
        </w:rPr>
        <w:t> </w:t>
      </w:r>
      <w:r>
        <w:rPr>
          <w:sz w:val="19"/>
        </w:rPr>
        <w:t>the</w:t>
      </w:r>
      <w:r>
        <w:rPr>
          <w:spacing w:val="-6"/>
          <w:sz w:val="19"/>
        </w:rPr>
        <w:t> </w:t>
      </w:r>
      <w:r>
        <w:rPr>
          <w:sz w:val="19"/>
        </w:rPr>
        <w:t>same</w:t>
      </w:r>
      <w:r>
        <w:rPr>
          <w:spacing w:val="-3"/>
          <w:sz w:val="19"/>
        </w:rPr>
        <w:t> </w:t>
      </w:r>
      <w:r>
        <w:rPr>
          <w:sz w:val="19"/>
        </w:rPr>
        <w:t>as</w:t>
      </w:r>
      <w:r>
        <w:rPr>
          <w:spacing w:val="-2"/>
          <w:sz w:val="19"/>
        </w:rPr>
        <w:t> </w:t>
      </w:r>
      <w:r>
        <w:rPr>
          <w:sz w:val="19"/>
        </w:rPr>
        <w:t>the</w:t>
      </w:r>
      <w:r>
        <w:rPr>
          <w:spacing w:val="-3"/>
          <w:sz w:val="19"/>
        </w:rPr>
        <w:t> </w:t>
      </w:r>
      <w:r>
        <w:rPr>
          <w:sz w:val="19"/>
        </w:rPr>
        <w:t>resident</w:t>
      </w:r>
      <w:r>
        <w:rPr>
          <w:spacing w:val="-3"/>
          <w:sz w:val="19"/>
        </w:rPr>
        <w:t> </w:t>
      </w:r>
      <w:r>
        <w:rPr>
          <w:sz w:val="19"/>
        </w:rPr>
        <w:t>tuition</w:t>
      </w:r>
      <w:r>
        <w:rPr>
          <w:spacing w:val="-4"/>
          <w:sz w:val="19"/>
        </w:rPr>
        <w:t> </w:t>
      </w:r>
      <w:r>
        <w:rPr>
          <w:sz w:val="19"/>
        </w:rPr>
        <w:t>provided</w:t>
      </w:r>
      <w:r>
        <w:rPr>
          <w:spacing w:val="-2"/>
          <w:sz w:val="19"/>
        </w:rPr>
        <w:t> </w:t>
      </w:r>
      <w:r>
        <w:rPr>
          <w:sz w:val="19"/>
        </w:rPr>
        <w:t>in Regulation 6C9-8.001.</w:t>
      </w:r>
    </w:p>
    <w:p>
      <w:pPr>
        <w:pStyle w:val="ListParagraph"/>
        <w:numPr>
          <w:ilvl w:val="0"/>
          <w:numId w:val="3"/>
        </w:numPr>
        <w:tabs>
          <w:tab w:pos="1530" w:val="left" w:leader="none"/>
          <w:tab w:pos="1531" w:val="left" w:leader="none"/>
        </w:tabs>
        <w:spacing w:line="491" w:lineRule="auto" w:before="2" w:after="0"/>
        <w:ind w:left="366" w:right="2948" w:firstLine="580"/>
        <w:jc w:val="left"/>
        <w:rPr>
          <w:sz w:val="19"/>
        </w:rPr>
      </w:pPr>
      <w:r>
        <w:rPr>
          <w:sz w:val="19"/>
        </w:rPr>
        <w:t>Registration of Zero Hours – Such registration provides for examinations, graduations,</w:t>
      </w:r>
      <w:r>
        <w:rPr>
          <w:spacing w:val="-2"/>
          <w:sz w:val="19"/>
        </w:rPr>
        <w:t> </w:t>
      </w:r>
      <w:r>
        <w:rPr>
          <w:sz w:val="19"/>
        </w:rPr>
        <w:t>use</w:t>
      </w:r>
      <w:r>
        <w:rPr>
          <w:spacing w:val="-3"/>
          <w:sz w:val="19"/>
        </w:rPr>
        <w:t> </w:t>
      </w:r>
      <w:r>
        <w:rPr>
          <w:sz w:val="19"/>
        </w:rPr>
        <w:t>of</w:t>
      </w:r>
      <w:r>
        <w:rPr>
          <w:spacing w:val="-4"/>
          <w:sz w:val="19"/>
        </w:rPr>
        <w:t> </w:t>
      </w:r>
      <w:r>
        <w:rPr>
          <w:sz w:val="19"/>
        </w:rPr>
        <w:t>facilities,</w:t>
      </w:r>
      <w:r>
        <w:rPr>
          <w:spacing w:val="-2"/>
          <w:sz w:val="19"/>
        </w:rPr>
        <w:t> </w:t>
      </w:r>
      <w:r>
        <w:rPr>
          <w:sz w:val="19"/>
        </w:rPr>
        <w:t>etc.,</w:t>
      </w:r>
      <w:r>
        <w:rPr>
          <w:spacing w:val="-2"/>
          <w:sz w:val="19"/>
        </w:rPr>
        <w:t> </w:t>
      </w:r>
      <w:r>
        <w:rPr>
          <w:sz w:val="19"/>
        </w:rPr>
        <w:t>when</w:t>
      </w:r>
      <w:r>
        <w:rPr>
          <w:spacing w:val="-4"/>
          <w:sz w:val="19"/>
        </w:rPr>
        <w:t> </w:t>
      </w:r>
      <w:r>
        <w:rPr>
          <w:sz w:val="19"/>
        </w:rPr>
        <w:t>deemed</w:t>
      </w:r>
      <w:r>
        <w:rPr>
          <w:spacing w:val="-2"/>
          <w:sz w:val="19"/>
        </w:rPr>
        <w:t> </w:t>
      </w:r>
      <w:r>
        <w:rPr>
          <w:sz w:val="19"/>
        </w:rPr>
        <w:t>appropriate</w:t>
      </w:r>
      <w:r>
        <w:rPr>
          <w:spacing w:val="-3"/>
          <w:sz w:val="19"/>
        </w:rPr>
        <w:t> </w:t>
      </w:r>
      <w:r>
        <w:rPr>
          <w:sz w:val="19"/>
        </w:rPr>
        <w:t>by</w:t>
      </w:r>
      <w:r>
        <w:rPr>
          <w:spacing w:val="-4"/>
          <w:sz w:val="19"/>
        </w:rPr>
        <w:t> </w:t>
      </w:r>
      <w:r>
        <w:rPr>
          <w:sz w:val="19"/>
        </w:rPr>
        <w:t>the</w:t>
      </w:r>
      <w:r>
        <w:rPr>
          <w:spacing w:val="-3"/>
          <w:sz w:val="19"/>
        </w:rPr>
        <w:t> </w:t>
      </w:r>
      <w:r>
        <w:rPr>
          <w:sz w:val="19"/>
        </w:rPr>
        <w:t>University.</w:t>
      </w:r>
      <w:r>
        <w:rPr>
          <w:spacing w:val="-2"/>
          <w:sz w:val="19"/>
        </w:rPr>
        <w:t> </w:t>
      </w:r>
      <w:r>
        <w:rPr>
          <w:sz w:val="19"/>
        </w:rPr>
        <w:t>A</w:t>
      </w:r>
      <w:r>
        <w:rPr>
          <w:spacing w:val="-3"/>
          <w:sz w:val="19"/>
        </w:rPr>
        <w:t> </w:t>
      </w:r>
      <w:r>
        <w:rPr>
          <w:sz w:val="19"/>
        </w:rPr>
        <w:t>student</w:t>
      </w:r>
      <w:r>
        <w:rPr>
          <w:spacing w:val="-3"/>
          <w:sz w:val="19"/>
        </w:rPr>
        <w:t> </w:t>
      </w:r>
      <w:r>
        <w:rPr>
          <w:sz w:val="19"/>
        </w:rPr>
        <w:t>will not be assessed resident tuition.</w:t>
      </w:r>
    </w:p>
    <w:p>
      <w:pPr>
        <w:pStyle w:val="ListParagraph"/>
        <w:numPr>
          <w:ilvl w:val="0"/>
          <w:numId w:val="3"/>
        </w:numPr>
        <w:tabs>
          <w:tab w:pos="1530" w:val="left" w:leader="none"/>
          <w:tab w:pos="1531" w:val="left" w:leader="none"/>
        </w:tabs>
        <w:spacing w:line="489" w:lineRule="auto" w:before="0" w:after="0"/>
        <w:ind w:left="366" w:right="2819" w:firstLine="580"/>
        <w:jc w:val="left"/>
        <w:rPr>
          <w:sz w:val="19"/>
        </w:rPr>
      </w:pPr>
      <w:r>
        <w:rPr>
          <w:sz w:val="19"/>
        </w:rPr>
        <w:t>Application Fee – Individuals who make application for admission to the University of North Florida shall pay a non-fundable Application Fee of $30.00 for paper applications</w:t>
      </w:r>
      <w:r>
        <w:rPr>
          <w:spacing w:val="-1"/>
          <w:sz w:val="19"/>
        </w:rPr>
        <w:t> </w:t>
      </w:r>
      <w:r>
        <w:rPr>
          <w:sz w:val="19"/>
        </w:rPr>
        <w:t>and $20.00 for electronic applications. This fee will be waived for applicants who can</w:t>
      </w:r>
      <w:r>
        <w:rPr>
          <w:spacing w:val="-2"/>
          <w:sz w:val="19"/>
        </w:rPr>
        <w:t> </w:t>
      </w:r>
      <w:r>
        <w:rPr>
          <w:sz w:val="19"/>
        </w:rPr>
        <w:t>document</w:t>
      </w:r>
      <w:r>
        <w:rPr>
          <w:spacing w:val="-3"/>
          <w:sz w:val="19"/>
        </w:rPr>
        <w:t> </w:t>
      </w:r>
      <w:r>
        <w:rPr>
          <w:sz w:val="19"/>
        </w:rPr>
        <w:t>that</w:t>
      </w:r>
      <w:r>
        <w:rPr>
          <w:spacing w:val="-3"/>
          <w:sz w:val="19"/>
        </w:rPr>
        <w:t> </w:t>
      </w:r>
      <w:r>
        <w:rPr>
          <w:sz w:val="19"/>
        </w:rPr>
        <w:t>they</w:t>
      </w:r>
      <w:r>
        <w:rPr>
          <w:spacing w:val="-2"/>
          <w:sz w:val="19"/>
        </w:rPr>
        <w:t> </w:t>
      </w:r>
      <w:r>
        <w:rPr>
          <w:sz w:val="19"/>
        </w:rPr>
        <w:t>have</w:t>
      </w:r>
      <w:r>
        <w:rPr>
          <w:spacing w:val="-3"/>
          <w:sz w:val="19"/>
        </w:rPr>
        <w:t> </w:t>
      </w:r>
      <w:r>
        <w:rPr>
          <w:sz w:val="19"/>
        </w:rPr>
        <w:t>received</w:t>
      </w:r>
      <w:r>
        <w:rPr>
          <w:spacing w:val="-2"/>
          <w:sz w:val="19"/>
        </w:rPr>
        <w:t> </w:t>
      </w:r>
      <w:r>
        <w:rPr>
          <w:sz w:val="19"/>
        </w:rPr>
        <w:t>a</w:t>
      </w:r>
      <w:r>
        <w:rPr>
          <w:spacing w:val="-3"/>
          <w:sz w:val="19"/>
        </w:rPr>
        <w:t> </w:t>
      </w:r>
      <w:r>
        <w:rPr>
          <w:sz w:val="19"/>
        </w:rPr>
        <w:t>fee</w:t>
      </w:r>
      <w:r>
        <w:rPr>
          <w:spacing w:val="-3"/>
          <w:sz w:val="19"/>
        </w:rPr>
        <w:t> </w:t>
      </w:r>
      <w:r>
        <w:rPr>
          <w:sz w:val="19"/>
        </w:rPr>
        <w:t>waiver</w:t>
      </w:r>
      <w:r>
        <w:rPr>
          <w:spacing w:val="-4"/>
          <w:sz w:val="19"/>
        </w:rPr>
        <w:t> </w:t>
      </w:r>
      <w:r>
        <w:rPr>
          <w:sz w:val="19"/>
        </w:rPr>
        <w:t>because</w:t>
      </w:r>
      <w:r>
        <w:rPr>
          <w:spacing w:val="-3"/>
          <w:sz w:val="19"/>
        </w:rPr>
        <w:t> </w:t>
      </w:r>
      <w:r>
        <w:rPr>
          <w:sz w:val="19"/>
        </w:rPr>
        <w:t>of</w:t>
      </w:r>
      <w:r>
        <w:rPr>
          <w:spacing w:val="-4"/>
          <w:sz w:val="19"/>
        </w:rPr>
        <w:t> </w:t>
      </w:r>
      <w:r>
        <w:rPr>
          <w:sz w:val="19"/>
        </w:rPr>
        <w:t>economic</w:t>
      </w:r>
      <w:r>
        <w:rPr>
          <w:spacing w:val="-3"/>
          <w:sz w:val="19"/>
        </w:rPr>
        <w:t> </w:t>
      </w:r>
      <w:r>
        <w:rPr>
          <w:sz w:val="19"/>
        </w:rPr>
        <w:t>need</w:t>
      </w:r>
      <w:r>
        <w:rPr>
          <w:spacing w:val="-2"/>
          <w:sz w:val="19"/>
        </w:rPr>
        <w:t> </w:t>
      </w:r>
      <w:r>
        <w:rPr>
          <w:sz w:val="19"/>
        </w:rPr>
        <w:t>as</w:t>
      </w:r>
      <w:r>
        <w:rPr>
          <w:spacing w:val="-5"/>
          <w:sz w:val="19"/>
        </w:rPr>
        <w:t> </w:t>
      </w:r>
      <w:r>
        <w:rPr>
          <w:sz w:val="19"/>
        </w:rPr>
        <w:t>determined</w:t>
      </w:r>
      <w:r>
        <w:rPr>
          <w:spacing w:val="-2"/>
          <w:sz w:val="19"/>
        </w:rPr>
        <w:t> </w:t>
      </w:r>
      <w:r>
        <w:rPr>
          <w:sz w:val="19"/>
        </w:rPr>
        <w:t>by the College Board or the American College Testing Program.</w:t>
      </w:r>
    </w:p>
    <w:p>
      <w:pPr>
        <w:pStyle w:val="ListParagraph"/>
        <w:numPr>
          <w:ilvl w:val="0"/>
          <w:numId w:val="3"/>
        </w:numPr>
        <w:tabs>
          <w:tab w:pos="1530" w:val="left" w:leader="none"/>
          <w:tab w:pos="1531" w:val="left" w:leader="none"/>
        </w:tabs>
        <w:spacing w:line="491" w:lineRule="auto" w:before="5" w:after="0"/>
        <w:ind w:left="366" w:right="2653" w:firstLine="580"/>
        <w:jc w:val="left"/>
        <w:rPr>
          <w:sz w:val="19"/>
        </w:rPr>
      </w:pPr>
      <w:r>
        <w:rPr>
          <w:sz w:val="19"/>
        </w:rPr>
        <w:t>Admission Deposit – Individuals accepted for admission</w:t>
      </w:r>
      <w:r>
        <w:rPr>
          <w:spacing w:val="40"/>
          <w:sz w:val="19"/>
        </w:rPr>
        <w:t> </w:t>
      </w:r>
      <w:r>
        <w:rPr>
          <w:sz w:val="19"/>
        </w:rPr>
        <w:t>to</w:t>
      </w:r>
      <w:r>
        <w:rPr>
          <w:spacing w:val="40"/>
          <w:sz w:val="19"/>
        </w:rPr>
        <w:t> </w:t>
      </w:r>
      <w:r>
        <w:rPr>
          <w:sz w:val="19"/>
        </w:rPr>
        <w:t>the University of North Florida may be required to pay a $200 deposit to secure their admission to the University. Upon enrollment, this admission deposit</w:t>
      </w:r>
      <w:r>
        <w:rPr>
          <w:spacing w:val="40"/>
          <w:sz w:val="19"/>
        </w:rPr>
        <w:t> </w:t>
      </w:r>
      <w:r>
        <w:rPr>
          <w:sz w:val="19"/>
        </w:rPr>
        <w:t>will be used</w:t>
      </w:r>
      <w:r>
        <w:rPr>
          <w:spacing w:val="40"/>
          <w:sz w:val="19"/>
        </w:rPr>
        <w:t> </w:t>
      </w:r>
      <w:r>
        <w:rPr>
          <w:sz w:val="19"/>
        </w:rPr>
        <w:t>as</w:t>
      </w:r>
      <w:r>
        <w:rPr>
          <w:spacing w:val="40"/>
          <w:sz w:val="19"/>
        </w:rPr>
        <w:t> </w:t>
      </w:r>
      <w:r>
        <w:rPr>
          <w:sz w:val="19"/>
        </w:rPr>
        <w:t>a partial payment</w:t>
      </w:r>
      <w:r>
        <w:rPr>
          <w:spacing w:val="40"/>
          <w:sz w:val="19"/>
        </w:rPr>
        <w:t> </w:t>
      </w:r>
      <w:r>
        <w:rPr>
          <w:sz w:val="19"/>
        </w:rPr>
        <w:t>of the student’s tuition.</w:t>
      </w:r>
      <w:r>
        <w:rPr>
          <w:spacing w:val="80"/>
          <w:sz w:val="19"/>
        </w:rPr>
        <w:t> </w:t>
      </w:r>
      <w:r>
        <w:rPr>
          <w:sz w:val="19"/>
        </w:rPr>
        <w:t>Should the individual</w:t>
      </w:r>
      <w:r>
        <w:rPr>
          <w:spacing w:val="-3"/>
          <w:sz w:val="19"/>
        </w:rPr>
        <w:t> </w:t>
      </w:r>
      <w:r>
        <w:rPr>
          <w:sz w:val="19"/>
        </w:rPr>
        <w:t>not enroll in</w:t>
      </w:r>
      <w:r>
        <w:rPr>
          <w:spacing w:val="40"/>
          <w:sz w:val="19"/>
        </w:rPr>
        <w:t> </w:t>
      </w:r>
      <w:r>
        <w:rPr>
          <w:sz w:val="19"/>
        </w:rPr>
        <w:t>the University, the deposit is non-refundable.</w:t>
      </w:r>
      <w:r>
        <w:rPr>
          <w:spacing w:val="80"/>
          <w:sz w:val="19"/>
        </w:rPr>
        <w:t> </w:t>
      </w:r>
      <w:r>
        <w:rPr>
          <w:sz w:val="19"/>
        </w:rPr>
        <w:t>This fee</w:t>
      </w:r>
      <w:r>
        <w:rPr>
          <w:spacing w:val="-3"/>
          <w:sz w:val="19"/>
        </w:rPr>
        <w:t> </w:t>
      </w:r>
      <w:r>
        <w:rPr>
          <w:sz w:val="19"/>
        </w:rPr>
        <w:t>will</w:t>
      </w:r>
      <w:r>
        <w:rPr>
          <w:spacing w:val="-3"/>
          <w:sz w:val="19"/>
        </w:rPr>
        <w:t> </w:t>
      </w:r>
      <w:r>
        <w:rPr>
          <w:sz w:val="19"/>
        </w:rPr>
        <w:t>be</w:t>
      </w:r>
      <w:r>
        <w:rPr>
          <w:spacing w:val="-3"/>
          <w:sz w:val="19"/>
        </w:rPr>
        <w:t> </w:t>
      </w:r>
      <w:r>
        <w:rPr>
          <w:sz w:val="19"/>
        </w:rPr>
        <w:t>waived</w:t>
      </w:r>
      <w:r>
        <w:rPr>
          <w:spacing w:val="-2"/>
          <w:sz w:val="19"/>
        </w:rPr>
        <w:t> </w:t>
      </w:r>
      <w:r>
        <w:rPr>
          <w:sz w:val="19"/>
        </w:rPr>
        <w:t>for</w:t>
      </w:r>
      <w:r>
        <w:rPr>
          <w:spacing w:val="-4"/>
          <w:sz w:val="19"/>
        </w:rPr>
        <w:t> </w:t>
      </w:r>
      <w:r>
        <w:rPr>
          <w:sz w:val="19"/>
        </w:rPr>
        <w:t>applicants</w:t>
      </w:r>
      <w:r>
        <w:rPr>
          <w:spacing w:val="-2"/>
          <w:sz w:val="19"/>
        </w:rPr>
        <w:t> </w:t>
      </w:r>
      <w:r>
        <w:rPr>
          <w:sz w:val="19"/>
        </w:rPr>
        <w:t>who</w:t>
      </w:r>
      <w:r>
        <w:rPr>
          <w:spacing w:val="-2"/>
          <w:sz w:val="19"/>
        </w:rPr>
        <w:t> </w:t>
      </w:r>
      <w:r>
        <w:rPr>
          <w:sz w:val="19"/>
        </w:rPr>
        <w:t>can</w:t>
      </w:r>
      <w:r>
        <w:rPr>
          <w:spacing w:val="-4"/>
          <w:sz w:val="19"/>
        </w:rPr>
        <w:t> </w:t>
      </w:r>
      <w:r>
        <w:rPr>
          <w:sz w:val="19"/>
        </w:rPr>
        <w:t>document</w:t>
      </w:r>
      <w:r>
        <w:rPr>
          <w:spacing w:val="-3"/>
          <w:sz w:val="19"/>
        </w:rPr>
        <w:t> </w:t>
      </w:r>
      <w:r>
        <w:rPr>
          <w:sz w:val="19"/>
        </w:rPr>
        <w:t>that</w:t>
      </w:r>
      <w:r>
        <w:rPr>
          <w:spacing w:val="-3"/>
          <w:sz w:val="19"/>
        </w:rPr>
        <w:t> </w:t>
      </w:r>
      <w:r>
        <w:rPr>
          <w:sz w:val="19"/>
        </w:rPr>
        <w:t>they</w:t>
      </w:r>
      <w:r>
        <w:rPr>
          <w:spacing w:val="-2"/>
          <w:sz w:val="19"/>
        </w:rPr>
        <w:t> </w:t>
      </w:r>
      <w:r>
        <w:rPr>
          <w:sz w:val="19"/>
        </w:rPr>
        <w:t>have</w:t>
      </w:r>
      <w:r>
        <w:rPr>
          <w:spacing w:val="-3"/>
          <w:sz w:val="19"/>
        </w:rPr>
        <w:t> </w:t>
      </w:r>
      <w:r>
        <w:rPr>
          <w:sz w:val="19"/>
        </w:rPr>
        <w:t>received</w:t>
      </w:r>
      <w:r>
        <w:rPr>
          <w:spacing w:val="-2"/>
          <w:sz w:val="19"/>
        </w:rPr>
        <w:t> </w:t>
      </w:r>
      <w:r>
        <w:rPr>
          <w:sz w:val="19"/>
        </w:rPr>
        <w:t>a</w:t>
      </w:r>
      <w:r>
        <w:rPr>
          <w:spacing w:val="-3"/>
          <w:sz w:val="19"/>
        </w:rPr>
        <w:t> </w:t>
      </w:r>
      <w:r>
        <w:rPr>
          <w:sz w:val="19"/>
        </w:rPr>
        <w:t>fee</w:t>
      </w:r>
      <w:r>
        <w:rPr>
          <w:spacing w:val="-3"/>
          <w:sz w:val="19"/>
        </w:rPr>
        <w:t> </w:t>
      </w:r>
      <w:r>
        <w:rPr>
          <w:sz w:val="19"/>
        </w:rPr>
        <w:t>waiver</w:t>
      </w:r>
      <w:r>
        <w:rPr>
          <w:spacing w:val="-4"/>
          <w:sz w:val="19"/>
        </w:rPr>
        <w:t> </w:t>
      </w:r>
      <w:r>
        <w:rPr>
          <w:sz w:val="19"/>
        </w:rPr>
        <w:t>because of economic need as determined by the College Board or</w:t>
      </w:r>
      <w:r>
        <w:rPr>
          <w:spacing w:val="40"/>
          <w:sz w:val="19"/>
        </w:rPr>
        <w:t> </w:t>
      </w:r>
      <w:r>
        <w:rPr>
          <w:sz w:val="19"/>
        </w:rPr>
        <w:t>the</w:t>
      </w:r>
      <w:r>
        <w:rPr>
          <w:spacing w:val="40"/>
          <w:sz w:val="19"/>
        </w:rPr>
        <w:t> </w:t>
      </w:r>
      <w:r>
        <w:rPr>
          <w:sz w:val="19"/>
        </w:rPr>
        <w:t>American</w:t>
      </w:r>
      <w:r>
        <w:rPr>
          <w:spacing w:val="40"/>
          <w:sz w:val="19"/>
        </w:rPr>
        <w:t> </w:t>
      </w:r>
      <w:r>
        <w:rPr>
          <w:sz w:val="19"/>
        </w:rPr>
        <w:t>College</w:t>
      </w:r>
      <w:r>
        <w:rPr>
          <w:spacing w:val="40"/>
          <w:sz w:val="19"/>
        </w:rPr>
        <w:t> </w:t>
      </w:r>
      <w:r>
        <w:rPr>
          <w:sz w:val="19"/>
        </w:rPr>
        <w:t>Testing</w:t>
      </w:r>
    </w:p>
    <w:p>
      <w:pPr>
        <w:spacing w:after="0" w:line="491" w:lineRule="auto"/>
        <w:jc w:val="left"/>
        <w:rPr>
          <w:sz w:val="19"/>
        </w:rPr>
        <w:sectPr>
          <w:pgSz w:w="12240" w:h="15840"/>
          <w:pgMar w:top="1420" w:bottom="280" w:left="800" w:right="1020"/>
        </w:sectPr>
      </w:pPr>
    </w:p>
    <w:p>
      <w:pPr>
        <w:pStyle w:val="BodyText"/>
        <w:spacing w:before="80"/>
        <w:ind w:left="366"/>
      </w:pPr>
      <w:r>
        <w:rPr>
          <w:spacing w:val="-2"/>
        </w:rPr>
        <w:t>Program.</w:t>
      </w:r>
    </w:p>
    <w:p>
      <w:pPr>
        <w:pStyle w:val="BodyText"/>
        <w:spacing w:before="9"/>
      </w:pPr>
    </w:p>
    <w:p>
      <w:pPr>
        <w:pStyle w:val="ListParagraph"/>
        <w:numPr>
          <w:ilvl w:val="0"/>
          <w:numId w:val="3"/>
        </w:numPr>
        <w:tabs>
          <w:tab w:pos="1530" w:val="left" w:leader="none"/>
          <w:tab w:pos="1531" w:val="left" w:leader="none"/>
        </w:tabs>
        <w:spacing w:line="491" w:lineRule="auto" w:before="0" w:after="0"/>
        <w:ind w:left="366" w:right="2657" w:firstLine="580"/>
        <w:jc w:val="left"/>
        <w:rPr>
          <w:sz w:val="19"/>
        </w:rPr>
      </w:pPr>
      <w:r>
        <w:rPr>
          <w:sz w:val="19"/>
        </w:rPr>
        <w:t>Continuing Education Course Fees – Any fees charged students for continuing education credit activities, which are higher than the normal approved fees for similar credit activities</w:t>
      </w:r>
      <w:r>
        <w:rPr>
          <w:spacing w:val="-2"/>
          <w:sz w:val="19"/>
        </w:rPr>
        <w:t> </w:t>
      </w:r>
      <w:r>
        <w:rPr>
          <w:sz w:val="19"/>
        </w:rPr>
        <w:t>offered</w:t>
      </w:r>
      <w:r>
        <w:rPr>
          <w:spacing w:val="-2"/>
          <w:sz w:val="19"/>
        </w:rPr>
        <w:t> </w:t>
      </w:r>
      <w:r>
        <w:rPr>
          <w:sz w:val="19"/>
        </w:rPr>
        <w:t>in</w:t>
      </w:r>
      <w:r>
        <w:rPr>
          <w:spacing w:val="-2"/>
          <w:sz w:val="19"/>
        </w:rPr>
        <w:t> </w:t>
      </w:r>
      <w:r>
        <w:rPr>
          <w:sz w:val="19"/>
        </w:rPr>
        <w:t>the</w:t>
      </w:r>
      <w:r>
        <w:rPr>
          <w:spacing w:val="-3"/>
          <w:sz w:val="19"/>
        </w:rPr>
        <w:t> </w:t>
      </w:r>
      <w:r>
        <w:rPr>
          <w:sz w:val="19"/>
        </w:rPr>
        <w:t>regular</w:t>
      </w:r>
      <w:r>
        <w:rPr>
          <w:spacing w:val="-6"/>
          <w:sz w:val="19"/>
        </w:rPr>
        <w:t> </w:t>
      </w:r>
      <w:r>
        <w:rPr>
          <w:sz w:val="19"/>
        </w:rPr>
        <w:t>on-campus</w:t>
      </w:r>
      <w:r>
        <w:rPr>
          <w:spacing w:val="-2"/>
          <w:sz w:val="19"/>
        </w:rPr>
        <w:t> </w:t>
      </w:r>
      <w:r>
        <w:rPr>
          <w:sz w:val="19"/>
        </w:rPr>
        <w:t>program,</w:t>
      </w:r>
      <w:r>
        <w:rPr>
          <w:spacing w:val="-2"/>
          <w:sz w:val="19"/>
        </w:rPr>
        <w:t> </w:t>
      </w:r>
      <w:r>
        <w:rPr>
          <w:sz w:val="19"/>
        </w:rPr>
        <w:t>shall</w:t>
      </w:r>
      <w:r>
        <w:rPr>
          <w:spacing w:val="-3"/>
          <w:sz w:val="19"/>
        </w:rPr>
        <w:t> </w:t>
      </w:r>
      <w:r>
        <w:rPr>
          <w:sz w:val="19"/>
        </w:rPr>
        <w:t>be</w:t>
      </w:r>
      <w:r>
        <w:rPr>
          <w:spacing w:val="-3"/>
          <w:sz w:val="19"/>
        </w:rPr>
        <w:t> </w:t>
      </w:r>
      <w:r>
        <w:rPr>
          <w:sz w:val="19"/>
        </w:rPr>
        <w:t>established</w:t>
      </w:r>
      <w:r>
        <w:rPr>
          <w:spacing w:val="-4"/>
          <w:sz w:val="19"/>
        </w:rPr>
        <w:t> </w:t>
      </w:r>
      <w:r>
        <w:rPr>
          <w:sz w:val="19"/>
        </w:rPr>
        <w:t>solely</w:t>
      </w:r>
      <w:r>
        <w:rPr>
          <w:spacing w:val="-2"/>
          <w:sz w:val="19"/>
        </w:rPr>
        <w:t> </w:t>
      </w:r>
      <w:r>
        <w:rPr>
          <w:sz w:val="19"/>
        </w:rPr>
        <w:t>for</w:t>
      </w:r>
      <w:r>
        <w:rPr>
          <w:spacing w:val="-4"/>
          <w:sz w:val="19"/>
        </w:rPr>
        <w:t> </w:t>
      </w:r>
      <w:r>
        <w:rPr>
          <w:sz w:val="19"/>
        </w:rPr>
        <w:t>the</w:t>
      </w:r>
      <w:r>
        <w:rPr>
          <w:spacing w:val="-3"/>
          <w:sz w:val="19"/>
        </w:rPr>
        <w:t> </w:t>
      </w:r>
      <w:r>
        <w:rPr>
          <w:sz w:val="19"/>
        </w:rPr>
        <w:t>purpose</w:t>
      </w:r>
      <w:r>
        <w:rPr>
          <w:spacing w:val="-6"/>
          <w:sz w:val="19"/>
        </w:rPr>
        <w:t> </w:t>
      </w:r>
      <w:r>
        <w:rPr>
          <w:sz w:val="19"/>
        </w:rPr>
        <w:t>of recovering all increased costs which result from offering these courses as continuing education </w:t>
      </w:r>
      <w:r>
        <w:rPr>
          <w:spacing w:val="-2"/>
          <w:sz w:val="19"/>
        </w:rPr>
        <w:t>activities.</w:t>
      </w:r>
    </w:p>
    <w:p>
      <w:pPr>
        <w:pStyle w:val="ListParagraph"/>
        <w:numPr>
          <w:ilvl w:val="0"/>
          <w:numId w:val="3"/>
        </w:numPr>
        <w:tabs>
          <w:tab w:pos="1530" w:val="left" w:leader="none"/>
          <w:tab w:pos="1531" w:val="left" w:leader="none"/>
        </w:tabs>
        <w:spacing w:line="491" w:lineRule="auto" w:before="0" w:after="0"/>
        <w:ind w:left="366" w:right="2828" w:firstLine="580"/>
        <w:jc w:val="left"/>
        <w:rPr>
          <w:sz w:val="19"/>
        </w:rPr>
      </w:pPr>
      <w:r>
        <w:rPr>
          <w:sz w:val="19"/>
        </w:rPr>
        <w:t>Late</w:t>
      </w:r>
      <w:r>
        <w:rPr>
          <w:spacing w:val="-4"/>
          <w:sz w:val="19"/>
        </w:rPr>
        <w:t> </w:t>
      </w:r>
      <w:r>
        <w:rPr>
          <w:sz w:val="19"/>
        </w:rPr>
        <w:t>Registration</w:t>
      </w:r>
      <w:r>
        <w:rPr>
          <w:spacing w:val="-3"/>
          <w:sz w:val="19"/>
        </w:rPr>
        <w:t> </w:t>
      </w:r>
      <w:r>
        <w:rPr>
          <w:sz w:val="19"/>
        </w:rPr>
        <w:t>Fee</w:t>
      </w:r>
      <w:r>
        <w:rPr>
          <w:spacing w:val="-4"/>
          <w:sz w:val="19"/>
        </w:rPr>
        <w:t> </w:t>
      </w:r>
      <w:r>
        <w:rPr>
          <w:sz w:val="19"/>
        </w:rPr>
        <w:t>–</w:t>
      </w:r>
      <w:r>
        <w:rPr>
          <w:spacing w:val="-3"/>
          <w:sz w:val="19"/>
        </w:rPr>
        <w:t> </w:t>
      </w:r>
      <w:r>
        <w:rPr>
          <w:sz w:val="19"/>
        </w:rPr>
        <w:t>The</w:t>
      </w:r>
      <w:r>
        <w:rPr>
          <w:spacing w:val="-4"/>
          <w:sz w:val="19"/>
        </w:rPr>
        <w:t> </w:t>
      </w:r>
      <w:r>
        <w:rPr>
          <w:sz w:val="19"/>
        </w:rPr>
        <w:t>University</w:t>
      </w:r>
      <w:r>
        <w:rPr>
          <w:spacing w:val="-3"/>
          <w:sz w:val="19"/>
        </w:rPr>
        <w:t> </w:t>
      </w:r>
      <w:r>
        <w:rPr>
          <w:sz w:val="19"/>
        </w:rPr>
        <w:t>will</w:t>
      </w:r>
      <w:r>
        <w:rPr>
          <w:spacing w:val="-4"/>
          <w:sz w:val="19"/>
        </w:rPr>
        <w:t> </w:t>
      </w:r>
      <w:r>
        <w:rPr>
          <w:sz w:val="19"/>
        </w:rPr>
        <w:t>assess</w:t>
      </w:r>
      <w:r>
        <w:rPr>
          <w:spacing w:val="-3"/>
          <w:sz w:val="19"/>
        </w:rPr>
        <w:t> </w:t>
      </w:r>
      <w:r>
        <w:rPr>
          <w:sz w:val="19"/>
        </w:rPr>
        <w:t>a</w:t>
      </w:r>
      <w:r>
        <w:rPr>
          <w:spacing w:val="-6"/>
          <w:sz w:val="19"/>
        </w:rPr>
        <w:t> </w:t>
      </w:r>
      <w:r>
        <w:rPr>
          <w:sz w:val="19"/>
        </w:rPr>
        <w:t>late</w:t>
      </w:r>
      <w:r>
        <w:rPr>
          <w:spacing w:val="-4"/>
          <w:sz w:val="19"/>
        </w:rPr>
        <w:t> </w:t>
      </w:r>
      <w:r>
        <w:rPr>
          <w:sz w:val="19"/>
        </w:rPr>
        <w:t>registration</w:t>
      </w:r>
      <w:r>
        <w:rPr>
          <w:spacing w:val="-3"/>
          <w:sz w:val="19"/>
        </w:rPr>
        <w:t> </w:t>
      </w:r>
      <w:r>
        <w:rPr>
          <w:sz w:val="19"/>
        </w:rPr>
        <w:t>fee</w:t>
      </w:r>
      <w:r>
        <w:rPr>
          <w:spacing w:val="-4"/>
          <w:sz w:val="19"/>
        </w:rPr>
        <w:t> </w:t>
      </w:r>
      <w:r>
        <w:rPr>
          <w:sz w:val="19"/>
        </w:rPr>
        <w:t>against students who fail to initiate registration in the regular registration period. The fee shall be</w:t>
      </w:r>
    </w:p>
    <w:p>
      <w:pPr>
        <w:pStyle w:val="BodyText"/>
        <w:spacing w:line="489" w:lineRule="auto"/>
        <w:ind w:left="365" w:right="2869"/>
      </w:pPr>
      <w:r>
        <w:rPr/>
        <w:t>$50.00.</w:t>
      </w:r>
      <w:r>
        <w:rPr>
          <w:spacing w:val="-4"/>
        </w:rPr>
        <w:t> </w:t>
      </w:r>
      <w:r>
        <w:rPr/>
        <w:t>The</w:t>
      </w:r>
      <w:r>
        <w:rPr>
          <w:spacing w:val="-3"/>
        </w:rPr>
        <w:t> </w:t>
      </w:r>
      <w:r>
        <w:rPr/>
        <w:t>University</w:t>
      </w:r>
      <w:r>
        <w:rPr>
          <w:spacing w:val="-2"/>
        </w:rPr>
        <w:t> </w:t>
      </w:r>
      <w:r>
        <w:rPr/>
        <w:t>will</w:t>
      </w:r>
      <w:r>
        <w:rPr>
          <w:spacing w:val="-3"/>
        </w:rPr>
        <w:t> </w:t>
      </w:r>
      <w:r>
        <w:rPr/>
        <w:t>waive</w:t>
      </w:r>
      <w:r>
        <w:rPr>
          <w:spacing w:val="-3"/>
        </w:rPr>
        <w:t> </w:t>
      </w:r>
      <w:r>
        <w:rPr/>
        <w:t>the</w:t>
      </w:r>
      <w:r>
        <w:rPr>
          <w:spacing w:val="-3"/>
        </w:rPr>
        <w:t> </w:t>
      </w:r>
      <w:r>
        <w:rPr/>
        <w:t>late</w:t>
      </w:r>
      <w:r>
        <w:rPr>
          <w:spacing w:val="-3"/>
        </w:rPr>
        <w:t> </w:t>
      </w:r>
      <w:r>
        <w:rPr/>
        <w:t>registration</w:t>
      </w:r>
      <w:r>
        <w:rPr>
          <w:spacing w:val="-3"/>
        </w:rPr>
        <w:t> </w:t>
      </w:r>
      <w:r>
        <w:rPr/>
        <w:t>fee</w:t>
      </w:r>
      <w:r>
        <w:rPr>
          <w:spacing w:val="-3"/>
        </w:rPr>
        <w:t> </w:t>
      </w:r>
      <w:r>
        <w:rPr/>
        <w:t>when</w:t>
      </w:r>
      <w:r>
        <w:rPr>
          <w:spacing w:val="-3"/>
        </w:rPr>
        <w:t> </w:t>
      </w:r>
      <w:r>
        <w:rPr/>
        <w:t>imposition</w:t>
      </w:r>
      <w:r>
        <w:rPr>
          <w:spacing w:val="-3"/>
        </w:rPr>
        <w:t> </w:t>
      </w:r>
      <w:r>
        <w:rPr/>
        <w:t>of</w:t>
      </w:r>
      <w:r>
        <w:rPr>
          <w:spacing w:val="-3"/>
        </w:rPr>
        <w:t> </w:t>
      </w:r>
      <w:r>
        <w:rPr/>
        <w:t>a</w:t>
      </w:r>
      <w:r>
        <w:rPr>
          <w:spacing w:val="-3"/>
        </w:rPr>
        <w:t> </w:t>
      </w:r>
      <w:r>
        <w:rPr/>
        <w:t>fee</w:t>
      </w:r>
      <w:r>
        <w:rPr>
          <w:spacing w:val="-3"/>
        </w:rPr>
        <w:t> </w:t>
      </w:r>
      <w:r>
        <w:rPr/>
        <w:t>would</w:t>
      </w:r>
      <w:r>
        <w:rPr>
          <w:spacing w:val="-2"/>
        </w:rPr>
        <w:t> </w:t>
      </w:r>
      <w:r>
        <w:rPr/>
        <w:t>be unjust due to extenuating circumstances.</w:t>
      </w:r>
    </w:p>
    <w:p>
      <w:pPr>
        <w:pStyle w:val="ListParagraph"/>
        <w:numPr>
          <w:ilvl w:val="0"/>
          <w:numId w:val="3"/>
        </w:numPr>
        <w:tabs>
          <w:tab w:pos="1529" w:val="left" w:leader="none"/>
          <w:tab w:pos="1530" w:val="left" w:leader="none"/>
        </w:tabs>
        <w:spacing w:line="491" w:lineRule="auto" w:before="0" w:after="0"/>
        <w:ind w:left="364" w:right="2650" w:firstLine="581"/>
        <w:jc w:val="left"/>
        <w:rPr>
          <w:sz w:val="19"/>
        </w:rPr>
      </w:pPr>
      <w:r>
        <w:rPr>
          <w:sz w:val="19"/>
        </w:rPr>
        <w:t>Late</w:t>
      </w:r>
      <w:r>
        <w:rPr>
          <w:spacing w:val="-3"/>
          <w:sz w:val="19"/>
        </w:rPr>
        <w:t> </w:t>
      </w:r>
      <w:r>
        <w:rPr>
          <w:sz w:val="19"/>
        </w:rPr>
        <w:t>Payment</w:t>
      </w:r>
      <w:r>
        <w:rPr>
          <w:spacing w:val="-3"/>
          <w:sz w:val="19"/>
        </w:rPr>
        <w:t> </w:t>
      </w:r>
      <w:r>
        <w:rPr>
          <w:sz w:val="19"/>
        </w:rPr>
        <w:t>Fee</w:t>
      </w:r>
      <w:r>
        <w:rPr>
          <w:spacing w:val="-3"/>
          <w:sz w:val="19"/>
        </w:rPr>
        <w:t> </w:t>
      </w:r>
      <w:r>
        <w:rPr>
          <w:sz w:val="19"/>
        </w:rPr>
        <w:t>–</w:t>
      </w:r>
      <w:r>
        <w:rPr>
          <w:spacing w:val="-2"/>
          <w:sz w:val="19"/>
        </w:rPr>
        <w:t> </w:t>
      </w:r>
      <w:r>
        <w:rPr>
          <w:sz w:val="19"/>
        </w:rPr>
        <w:t>The</w:t>
      </w:r>
      <w:r>
        <w:rPr>
          <w:spacing w:val="-3"/>
          <w:sz w:val="19"/>
        </w:rPr>
        <w:t> </w:t>
      </w:r>
      <w:r>
        <w:rPr>
          <w:sz w:val="19"/>
        </w:rPr>
        <w:t>University</w:t>
      </w:r>
      <w:r>
        <w:rPr>
          <w:spacing w:val="-2"/>
          <w:sz w:val="19"/>
        </w:rPr>
        <w:t> </w:t>
      </w:r>
      <w:r>
        <w:rPr>
          <w:sz w:val="19"/>
        </w:rPr>
        <w:t>will</w:t>
      </w:r>
      <w:r>
        <w:rPr>
          <w:spacing w:val="-3"/>
          <w:sz w:val="19"/>
        </w:rPr>
        <w:t> </w:t>
      </w:r>
      <w:r>
        <w:rPr>
          <w:sz w:val="19"/>
        </w:rPr>
        <w:t>assess</w:t>
      </w:r>
      <w:r>
        <w:rPr>
          <w:spacing w:val="-5"/>
          <w:sz w:val="19"/>
        </w:rPr>
        <w:t> </w:t>
      </w:r>
      <w:r>
        <w:rPr>
          <w:sz w:val="19"/>
        </w:rPr>
        <w:t>a</w:t>
      </w:r>
      <w:r>
        <w:rPr>
          <w:spacing w:val="-3"/>
          <w:sz w:val="19"/>
        </w:rPr>
        <w:t> </w:t>
      </w:r>
      <w:r>
        <w:rPr>
          <w:sz w:val="19"/>
        </w:rPr>
        <w:t>late</w:t>
      </w:r>
      <w:r>
        <w:rPr>
          <w:spacing w:val="-3"/>
          <w:sz w:val="19"/>
        </w:rPr>
        <w:t> </w:t>
      </w:r>
      <w:r>
        <w:rPr>
          <w:sz w:val="19"/>
        </w:rPr>
        <w:t>payment</w:t>
      </w:r>
      <w:r>
        <w:rPr>
          <w:spacing w:val="-3"/>
          <w:sz w:val="19"/>
        </w:rPr>
        <w:t> </w:t>
      </w:r>
      <w:r>
        <w:rPr>
          <w:sz w:val="19"/>
        </w:rPr>
        <w:t>fee</w:t>
      </w:r>
      <w:r>
        <w:rPr>
          <w:spacing w:val="-3"/>
          <w:sz w:val="19"/>
        </w:rPr>
        <w:t> </w:t>
      </w:r>
      <w:r>
        <w:rPr>
          <w:sz w:val="19"/>
        </w:rPr>
        <w:t>to</w:t>
      </w:r>
      <w:r>
        <w:rPr>
          <w:spacing w:val="-2"/>
          <w:sz w:val="19"/>
        </w:rPr>
        <w:t> </w:t>
      </w:r>
      <w:r>
        <w:rPr>
          <w:sz w:val="19"/>
        </w:rPr>
        <w:t>students</w:t>
      </w:r>
      <w:r>
        <w:rPr>
          <w:spacing w:val="-2"/>
          <w:sz w:val="19"/>
        </w:rPr>
        <w:t> </w:t>
      </w:r>
      <w:r>
        <w:rPr>
          <w:sz w:val="19"/>
        </w:rPr>
        <w:t>who fail to pay or make appropriate arrangements for payment (by means of installment payment, deferment or third-party billing), of tuition deadlines set by the University. The fee shall be</w:t>
      </w:r>
    </w:p>
    <w:p>
      <w:pPr>
        <w:pStyle w:val="BodyText"/>
        <w:spacing w:line="216" w:lineRule="exact"/>
        <w:ind w:left="364"/>
      </w:pPr>
      <w:r>
        <w:rPr>
          <w:spacing w:val="-2"/>
        </w:rPr>
        <w:t>$50.00.</w:t>
      </w:r>
    </w:p>
    <w:p>
      <w:pPr>
        <w:pStyle w:val="BodyText"/>
        <w:spacing w:before="7"/>
      </w:pPr>
    </w:p>
    <w:p>
      <w:pPr>
        <w:pStyle w:val="ListParagraph"/>
        <w:numPr>
          <w:ilvl w:val="0"/>
          <w:numId w:val="3"/>
        </w:numPr>
        <w:tabs>
          <w:tab w:pos="1528" w:val="left" w:leader="none"/>
          <w:tab w:pos="1530" w:val="left" w:leader="none"/>
        </w:tabs>
        <w:spacing w:line="489" w:lineRule="auto" w:before="0" w:after="0"/>
        <w:ind w:left="364" w:right="2750" w:firstLine="580"/>
        <w:jc w:val="left"/>
        <w:rPr>
          <w:sz w:val="19"/>
        </w:rPr>
      </w:pPr>
      <w:r>
        <w:rPr>
          <w:sz w:val="19"/>
        </w:rPr>
        <w:t>Service</w:t>
      </w:r>
      <w:r>
        <w:rPr>
          <w:spacing w:val="-3"/>
          <w:sz w:val="19"/>
        </w:rPr>
        <w:t> </w:t>
      </w:r>
      <w:r>
        <w:rPr>
          <w:sz w:val="19"/>
        </w:rPr>
        <w:t>Charge</w:t>
      </w:r>
      <w:r>
        <w:rPr>
          <w:spacing w:val="-3"/>
          <w:sz w:val="19"/>
        </w:rPr>
        <w:t> </w:t>
      </w:r>
      <w:r>
        <w:rPr>
          <w:sz w:val="19"/>
        </w:rPr>
        <w:t>–</w:t>
      </w:r>
      <w:r>
        <w:rPr>
          <w:spacing w:val="-2"/>
          <w:sz w:val="19"/>
        </w:rPr>
        <w:t> </w:t>
      </w:r>
      <w:r>
        <w:rPr>
          <w:sz w:val="19"/>
        </w:rPr>
        <w:t>The</w:t>
      </w:r>
      <w:r>
        <w:rPr>
          <w:spacing w:val="-3"/>
          <w:sz w:val="19"/>
        </w:rPr>
        <w:t> </w:t>
      </w:r>
      <w:r>
        <w:rPr>
          <w:sz w:val="19"/>
        </w:rPr>
        <w:t>University</w:t>
      </w:r>
      <w:r>
        <w:rPr>
          <w:spacing w:val="-2"/>
          <w:sz w:val="19"/>
        </w:rPr>
        <w:t> </w:t>
      </w:r>
      <w:r>
        <w:rPr>
          <w:sz w:val="19"/>
        </w:rPr>
        <w:t>will</w:t>
      </w:r>
      <w:r>
        <w:rPr>
          <w:spacing w:val="-3"/>
          <w:sz w:val="19"/>
        </w:rPr>
        <w:t> </w:t>
      </w:r>
      <w:r>
        <w:rPr>
          <w:sz w:val="19"/>
        </w:rPr>
        <w:t>asses</w:t>
      </w:r>
      <w:r>
        <w:rPr>
          <w:spacing w:val="-2"/>
          <w:sz w:val="19"/>
        </w:rPr>
        <w:t> </w:t>
      </w:r>
      <w:r>
        <w:rPr>
          <w:sz w:val="19"/>
        </w:rPr>
        <w:t>a</w:t>
      </w:r>
      <w:r>
        <w:rPr>
          <w:spacing w:val="-6"/>
          <w:sz w:val="19"/>
        </w:rPr>
        <w:t> </w:t>
      </w:r>
      <w:r>
        <w:rPr>
          <w:sz w:val="19"/>
        </w:rPr>
        <w:t>$10</w:t>
      </w:r>
      <w:r>
        <w:rPr>
          <w:spacing w:val="-4"/>
          <w:sz w:val="19"/>
        </w:rPr>
        <w:t> </w:t>
      </w:r>
      <w:r>
        <w:rPr>
          <w:sz w:val="19"/>
        </w:rPr>
        <w:t>service</w:t>
      </w:r>
      <w:r>
        <w:rPr>
          <w:spacing w:val="-3"/>
          <w:sz w:val="19"/>
        </w:rPr>
        <w:t> </w:t>
      </w:r>
      <w:r>
        <w:rPr>
          <w:sz w:val="19"/>
        </w:rPr>
        <w:t>charge</w:t>
      </w:r>
      <w:r>
        <w:rPr>
          <w:spacing w:val="-3"/>
          <w:sz w:val="19"/>
        </w:rPr>
        <w:t> </w:t>
      </w:r>
      <w:r>
        <w:rPr>
          <w:sz w:val="19"/>
        </w:rPr>
        <w:t>for</w:t>
      </w:r>
      <w:r>
        <w:rPr>
          <w:spacing w:val="-4"/>
          <w:sz w:val="19"/>
        </w:rPr>
        <w:t> </w:t>
      </w:r>
      <w:r>
        <w:rPr>
          <w:sz w:val="19"/>
        </w:rPr>
        <w:t>the</w:t>
      </w:r>
      <w:r>
        <w:rPr>
          <w:spacing w:val="-3"/>
          <w:sz w:val="19"/>
        </w:rPr>
        <w:t> </w:t>
      </w:r>
      <w:r>
        <w:rPr>
          <w:sz w:val="19"/>
        </w:rPr>
        <w:t>payment of tuition installments.</w:t>
      </w:r>
    </w:p>
    <w:p>
      <w:pPr>
        <w:pStyle w:val="ListParagraph"/>
        <w:numPr>
          <w:ilvl w:val="0"/>
          <w:numId w:val="3"/>
        </w:numPr>
        <w:tabs>
          <w:tab w:pos="1528" w:val="left" w:leader="none"/>
          <w:tab w:pos="1530" w:val="left" w:leader="none"/>
        </w:tabs>
        <w:spacing w:line="215" w:lineRule="exact" w:before="0" w:after="0"/>
        <w:ind w:left="1529" w:right="0" w:hanging="585"/>
        <w:jc w:val="left"/>
        <w:rPr>
          <w:sz w:val="19"/>
        </w:rPr>
      </w:pPr>
      <w:r>
        <w:rPr>
          <w:sz w:val="19"/>
        </w:rPr>
        <w:t>Library</w:t>
      </w:r>
      <w:r>
        <w:rPr>
          <w:spacing w:val="-3"/>
          <w:sz w:val="19"/>
        </w:rPr>
        <w:t> </w:t>
      </w:r>
      <w:r>
        <w:rPr>
          <w:sz w:val="19"/>
        </w:rPr>
        <w:t>Fines</w:t>
      </w:r>
      <w:r>
        <w:rPr>
          <w:spacing w:val="-2"/>
          <w:sz w:val="19"/>
        </w:rPr>
        <w:t> </w:t>
      </w:r>
      <w:r>
        <w:rPr>
          <w:sz w:val="19"/>
        </w:rPr>
        <w:t>-</w:t>
      </w:r>
      <w:r>
        <w:rPr>
          <w:spacing w:val="-3"/>
          <w:sz w:val="19"/>
        </w:rPr>
        <w:t> </w:t>
      </w:r>
      <w:r>
        <w:rPr>
          <w:sz w:val="19"/>
        </w:rPr>
        <w:t>$.25</w:t>
      </w:r>
      <w:r>
        <w:rPr>
          <w:spacing w:val="-3"/>
          <w:sz w:val="19"/>
        </w:rPr>
        <w:t> </w:t>
      </w:r>
      <w:r>
        <w:rPr>
          <w:sz w:val="19"/>
        </w:rPr>
        <w:t>per</w:t>
      </w:r>
      <w:r>
        <w:rPr>
          <w:spacing w:val="-3"/>
          <w:sz w:val="19"/>
        </w:rPr>
        <w:t> </w:t>
      </w:r>
      <w:r>
        <w:rPr>
          <w:sz w:val="19"/>
        </w:rPr>
        <w:t>book</w:t>
      </w:r>
      <w:r>
        <w:rPr>
          <w:spacing w:val="-2"/>
          <w:sz w:val="19"/>
        </w:rPr>
        <w:t> </w:t>
      </w:r>
      <w:r>
        <w:rPr>
          <w:sz w:val="19"/>
        </w:rPr>
        <w:t>or</w:t>
      </w:r>
      <w:r>
        <w:rPr>
          <w:spacing w:val="-6"/>
          <w:sz w:val="19"/>
        </w:rPr>
        <w:t> </w:t>
      </w:r>
      <w:r>
        <w:rPr>
          <w:sz w:val="19"/>
        </w:rPr>
        <w:t>unit,</w:t>
      </w:r>
      <w:r>
        <w:rPr>
          <w:spacing w:val="-5"/>
          <w:sz w:val="19"/>
        </w:rPr>
        <w:t> </w:t>
      </w:r>
      <w:r>
        <w:rPr>
          <w:sz w:val="19"/>
        </w:rPr>
        <w:t>per</w:t>
      </w:r>
      <w:r>
        <w:rPr>
          <w:spacing w:val="-4"/>
          <w:sz w:val="19"/>
        </w:rPr>
        <w:t> </w:t>
      </w:r>
      <w:r>
        <w:rPr>
          <w:sz w:val="19"/>
        </w:rPr>
        <w:t>day</w:t>
      </w:r>
      <w:r>
        <w:rPr>
          <w:color w:val="0101FF"/>
          <w:sz w:val="19"/>
        </w:rPr>
        <w:t>,</w:t>
      </w:r>
      <w:r>
        <w:rPr>
          <w:color w:val="0101FF"/>
          <w:spacing w:val="-5"/>
          <w:sz w:val="19"/>
        </w:rPr>
        <w:t> </w:t>
      </w:r>
      <w:r>
        <w:rPr>
          <w:color w:val="0101FF"/>
          <w:sz w:val="19"/>
        </w:rPr>
        <w:t>up</w:t>
      </w:r>
      <w:r>
        <w:rPr>
          <w:color w:val="0101FF"/>
          <w:spacing w:val="-4"/>
          <w:sz w:val="19"/>
        </w:rPr>
        <w:t> </w:t>
      </w:r>
      <w:r>
        <w:rPr>
          <w:color w:val="0101FF"/>
          <w:sz w:val="19"/>
        </w:rPr>
        <w:t>to</w:t>
      </w:r>
      <w:r>
        <w:rPr>
          <w:color w:val="0101FF"/>
          <w:spacing w:val="-4"/>
          <w:sz w:val="19"/>
        </w:rPr>
        <w:t> </w:t>
      </w:r>
      <w:r>
        <w:rPr>
          <w:color w:val="0101FF"/>
          <w:sz w:val="19"/>
        </w:rPr>
        <w:t>$5.00</w:t>
      </w:r>
      <w:r>
        <w:rPr>
          <w:color w:val="0101FF"/>
          <w:spacing w:val="13"/>
          <w:sz w:val="19"/>
        </w:rPr>
        <w:t> </w:t>
      </w:r>
      <w:r>
        <w:rPr>
          <w:color w:val="0101FF"/>
          <w:spacing w:val="-2"/>
          <w:sz w:val="19"/>
        </w:rPr>
        <w:t>maximum</w:t>
      </w:r>
    </w:p>
    <w:p>
      <w:pPr>
        <w:pStyle w:val="BodyText"/>
        <w:spacing w:before="4"/>
        <w:rPr>
          <w:sz w:val="20"/>
        </w:rPr>
      </w:pPr>
    </w:p>
    <w:p>
      <w:pPr>
        <w:pStyle w:val="ListParagraph"/>
        <w:numPr>
          <w:ilvl w:val="0"/>
          <w:numId w:val="3"/>
        </w:numPr>
        <w:tabs>
          <w:tab w:pos="1530" w:val="left" w:leader="none"/>
          <w:tab w:pos="1531" w:val="left" w:leader="none"/>
        </w:tabs>
        <w:spacing w:line="240" w:lineRule="auto" w:before="0" w:after="0"/>
        <w:ind w:left="1530" w:right="0" w:hanging="584"/>
        <w:jc w:val="left"/>
        <w:rPr>
          <w:sz w:val="19"/>
        </w:rPr>
      </w:pPr>
      <w:r>
        <w:rPr>
          <w:sz w:val="19"/>
        </w:rPr>
        <w:t>Overdue</w:t>
      </w:r>
      <w:r>
        <w:rPr>
          <w:spacing w:val="-4"/>
          <w:sz w:val="19"/>
        </w:rPr>
        <w:t> </w:t>
      </w:r>
      <w:r>
        <w:rPr>
          <w:sz w:val="19"/>
        </w:rPr>
        <w:t>Reserve</w:t>
      </w:r>
      <w:r>
        <w:rPr>
          <w:spacing w:val="-4"/>
          <w:sz w:val="19"/>
        </w:rPr>
        <w:t> </w:t>
      </w:r>
      <w:r>
        <w:rPr>
          <w:sz w:val="19"/>
        </w:rPr>
        <w:t>Library</w:t>
      </w:r>
      <w:r>
        <w:rPr>
          <w:spacing w:val="-3"/>
          <w:sz w:val="19"/>
        </w:rPr>
        <w:t> </w:t>
      </w:r>
      <w:r>
        <w:rPr>
          <w:sz w:val="19"/>
        </w:rPr>
        <w:t>Books</w:t>
      </w:r>
      <w:r>
        <w:rPr>
          <w:spacing w:val="-3"/>
          <w:sz w:val="19"/>
        </w:rPr>
        <w:t> </w:t>
      </w:r>
      <w:r>
        <w:rPr>
          <w:sz w:val="19"/>
        </w:rPr>
        <w:t>-</w:t>
      </w:r>
      <w:r>
        <w:rPr>
          <w:spacing w:val="-4"/>
          <w:sz w:val="19"/>
        </w:rPr>
        <w:t> </w:t>
      </w:r>
      <w:r>
        <w:rPr>
          <w:sz w:val="19"/>
        </w:rPr>
        <w:t>$1.00</w:t>
      </w:r>
      <w:r>
        <w:rPr>
          <w:spacing w:val="-5"/>
          <w:sz w:val="19"/>
        </w:rPr>
        <w:t> </w:t>
      </w:r>
      <w:r>
        <w:rPr>
          <w:sz w:val="19"/>
        </w:rPr>
        <w:t>per</w:t>
      </w:r>
      <w:r>
        <w:rPr>
          <w:spacing w:val="-5"/>
          <w:sz w:val="19"/>
        </w:rPr>
        <w:t> </w:t>
      </w:r>
      <w:r>
        <w:rPr>
          <w:sz w:val="19"/>
        </w:rPr>
        <w:t>book</w:t>
      </w:r>
      <w:r>
        <w:rPr>
          <w:spacing w:val="-4"/>
          <w:sz w:val="19"/>
        </w:rPr>
        <w:t> </w:t>
      </w:r>
      <w:r>
        <w:rPr>
          <w:sz w:val="19"/>
        </w:rPr>
        <w:t>or</w:t>
      </w:r>
      <w:r>
        <w:rPr>
          <w:spacing w:val="-5"/>
          <w:sz w:val="19"/>
        </w:rPr>
        <w:t> </w:t>
      </w:r>
      <w:r>
        <w:rPr>
          <w:sz w:val="19"/>
        </w:rPr>
        <w:t>unit</w:t>
      </w:r>
      <w:r>
        <w:rPr>
          <w:spacing w:val="-6"/>
          <w:sz w:val="19"/>
        </w:rPr>
        <w:t> </w:t>
      </w:r>
      <w:r>
        <w:rPr>
          <w:sz w:val="19"/>
        </w:rPr>
        <w:t>item,</w:t>
      </w:r>
      <w:r>
        <w:rPr>
          <w:spacing w:val="-3"/>
          <w:sz w:val="19"/>
        </w:rPr>
        <w:t> </w:t>
      </w:r>
      <w:r>
        <w:rPr>
          <w:sz w:val="19"/>
        </w:rPr>
        <w:t>per</w:t>
      </w:r>
      <w:r>
        <w:rPr>
          <w:spacing w:val="-4"/>
          <w:sz w:val="19"/>
        </w:rPr>
        <w:t> </w:t>
      </w:r>
      <w:r>
        <w:rPr>
          <w:sz w:val="19"/>
        </w:rPr>
        <w:t>hour</w:t>
      </w:r>
      <w:r>
        <w:rPr>
          <w:color w:val="0101FF"/>
          <w:sz w:val="19"/>
        </w:rPr>
        <w:t>,</w:t>
      </w:r>
      <w:r>
        <w:rPr>
          <w:color w:val="0101FF"/>
          <w:spacing w:val="-6"/>
          <w:sz w:val="19"/>
        </w:rPr>
        <w:t> </w:t>
      </w:r>
      <w:r>
        <w:rPr>
          <w:color w:val="0101FF"/>
          <w:sz w:val="19"/>
        </w:rPr>
        <w:t>up</w:t>
      </w:r>
      <w:r>
        <w:rPr>
          <w:color w:val="0101FF"/>
          <w:spacing w:val="19"/>
          <w:sz w:val="19"/>
        </w:rPr>
        <w:t> </w:t>
      </w:r>
      <w:r>
        <w:rPr>
          <w:color w:val="0101FF"/>
          <w:spacing w:val="-5"/>
          <w:sz w:val="19"/>
        </w:rPr>
        <w:t>to</w:t>
      </w:r>
    </w:p>
    <w:p>
      <w:pPr>
        <w:pStyle w:val="BodyText"/>
        <w:spacing w:before="9"/>
      </w:pPr>
    </w:p>
    <w:p>
      <w:pPr>
        <w:pStyle w:val="BodyText"/>
        <w:ind w:left="366"/>
      </w:pPr>
      <w:r>
        <w:rPr>
          <w:color w:val="0101FF"/>
        </w:rPr>
        <w:t>$5.00</w:t>
      </w:r>
      <w:r>
        <w:rPr>
          <w:color w:val="0101FF"/>
          <w:spacing w:val="-4"/>
        </w:rPr>
        <w:t> </w:t>
      </w:r>
      <w:r>
        <w:rPr>
          <w:color w:val="0101FF"/>
          <w:spacing w:val="-2"/>
        </w:rPr>
        <w:t>maximum</w:t>
      </w:r>
      <w:r>
        <w:rPr>
          <w:spacing w:val="-2"/>
        </w:rPr>
        <w:t>.</w:t>
      </w:r>
    </w:p>
    <w:p>
      <w:pPr>
        <w:pStyle w:val="BodyText"/>
        <w:spacing w:before="9"/>
      </w:pPr>
    </w:p>
    <w:p>
      <w:pPr>
        <w:pStyle w:val="ListParagraph"/>
        <w:numPr>
          <w:ilvl w:val="0"/>
          <w:numId w:val="3"/>
        </w:numPr>
        <w:tabs>
          <w:tab w:pos="1530" w:val="left" w:leader="none"/>
          <w:tab w:pos="1531" w:val="left" w:leader="none"/>
        </w:tabs>
        <w:spacing w:line="491" w:lineRule="auto" w:before="1" w:after="0"/>
        <w:ind w:left="366" w:right="2815" w:firstLine="580"/>
        <w:jc w:val="left"/>
        <w:rPr>
          <w:sz w:val="19"/>
        </w:rPr>
      </w:pPr>
      <w:r>
        <w:rPr>
          <w:sz w:val="19"/>
        </w:rPr>
        <w:t>Overdue</w:t>
      </w:r>
      <w:r>
        <w:rPr>
          <w:spacing w:val="-3"/>
          <w:sz w:val="19"/>
        </w:rPr>
        <w:t> </w:t>
      </w:r>
      <w:r>
        <w:rPr>
          <w:sz w:val="19"/>
        </w:rPr>
        <w:t>Recalled</w:t>
      </w:r>
      <w:r>
        <w:rPr>
          <w:spacing w:val="-2"/>
          <w:sz w:val="19"/>
        </w:rPr>
        <w:t> </w:t>
      </w:r>
      <w:r>
        <w:rPr>
          <w:sz w:val="19"/>
        </w:rPr>
        <w:t>Library</w:t>
      </w:r>
      <w:r>
        <w:rPr>
          <w:spacing w:val="-2"/>
          <w:sz w:val="19"/>
        </w:rPr>
        <w:t> </w:t>
      </w:r>
      <w:r>
        <w:rPr>
          <w:sz w:val="19"/>
        </w:rPr>
        <w:t>Items</w:t>
      </w:r>
      <w:r>
        <w:rPr>
          <w:spacing w:val="-2"/>
          <w:sz w:val="19"/>
        </w:rPr>
        <w:t> </w:t>
      </w:r>
      <w:r>
        <w:rPr>
          <w:sz w:val="19"/>
        </w:rPr>
        <w:t>-</w:t>
      </w:r>
      <w:r>
        <w:rPr>
          <w:spacing w:val="-4"/>
          <w:sz w:val="19"/>
        </w:rPr>
        <w:t> </w:t>
      </w:r>
      <w:r>
        <w:rPr>
          <w:sz w:val="19"/>
        </w:rPr>
        <w:t>$1.00</w:t>
      </w:r>
      <w:r>
        <w:rPr>
          <w:spacing w:val="-4"/>
          <w:sz w:val="19"/>
        </w:rPr>
        <w:t> </w:t>
      </w:r>
      <w:r>
        <w:rPr>
          <w:sz w:val="19"/>
        </w:rPr>
        <w:t>per</w:t>
      </w:r>
      <w:r>
        <w:rPr>
          <w:spacing w:val="-4"/>
          <w:sz w:val="19"/>
        </w:rPr>
        <w:t> </w:t>
      </w:r>
      <w:r>
        <w:rPr>
          <w:sz w:val="19"/>
        </w:rPr>
        <w:t>book</w:t>
      </w:r>
      <w:r>
        <w:rPr>
          <w:spacing w:val="-4"/>
          <w:sz w:val="19"/>
        </w:rPr>
        <w:t> </w:t>
      </w:r>
      <w:r>
        <w:rPr>
          <w:sz w:val="19"/>
        </w:rPr>
        <w:t>or</w:t>
      </w:r>
      <w:r>
        <w:rPr>
          <w:spacing w:val="-4"/>
          <w:sz w:val="19"/>
        </w:rPr>
        <w:t> </w:t>
      </w:r>
      <w:r>
        <w:rPr>
          <w:sz w:val="19"/>
        </w:rPr>
        <w:t>unit,</w:t>
      </w:r>
      <w:r>
        <w:rPr>
          <w:spacing w:val="-5"/>
          <w:sz w:val="19"/>
        </w:rPr>
        <w:t> </w:t>
      </w:r>
      <w:r>
        <w:rPr>
          <w:sz w:val="19"/>
        </w:rPr>
        <w:t>per</w:t>
      </w:r>
      <w:r>
        <w:rPr>
          <w:spacing w:val="-4"/>
          <w:sz w:val="19"/>
        </w:rPr>
        <w:t> </w:t>
      </w:r>
      <w:r>
        <w:rPr>
          <w:sz w:val="19"/>
        </w:rPr>
        <w:t>day,</w:t>
      </w:r>
      <w:r>
        <w:rPr>
          <w:spacing w:val="-2"/>
          <w:sz w:val="19"/>
        </w:rPr>
        <w:t> </w:t>
      </w:r>
      <w:r>
        <w:rPr>
          <w:sz w:val="19"/>
        </w:rPr>
        <w:t>in</w:t>
      </w:r>
      <w:r>
        <w:rPr>
          <w:spacing w:val="-2"/>
          <w:sz w:val="19"/>
        </w:rPr>
        <w:t> </w:t>
      </w:r>
      <w:r>
        <w:rPr>
          <w:sz w:val="19"/>
        </w:rPr>
        <w:t>addition</w:t>
      </w:r>
      <w:r>
        <w:rPr>
          <w:spacing w:val="-2"/>
          <w:sz w:val="19"/>
        </w:rPr>
        <w:t> </w:t>
      </w:r>
      <w:r>
        <w:rPr>
          <w:sz w:val="19"/>
        </w:rPr>
        <w:t>to any other fines or penalties</w:t>
      </w:r>
      <w:r>
        <w:rPr>
          <w:color w:val="0101FF"/>
          <w:sz w:val="19"/>
        </w:rPr>
        <w:t>, up to $5.00 maximum</w:t>
      </w:r>
      <w:r>
        <w:rPr>
          <w:sz w:val="19"/>
        </w:rPr>
        <w:t>.</w:t>
      </w:r>
    </w:p>
    <w:p>
      <w:pPr>
        <w:pStyle w:val="ListParagraph"/>
        <w:numPr>
          <w:ilvl w:val="0"/>
          <w:numId w:val="3"/>
        </w:numPr>
        <w:tabs>
          <w:tab w:pos="1530" w:val="left" w:leader="none"/>
          <w:tab w:pos="1531" w:val="left" w:leader="none"/>
        </w:tabs>
        <w:spacing w:line="216" w:lineRule="exact" w:before="0" w:after="0"/>
        <w:ind w:left="1530" w:right="0" w:hanging="584"/>
        <w:jc w:val="left"/>
        <w:rPr>
          <w:sz w:val="19"/>
        </w:rPr>
      </w:pPr>
      <w:r>
        <w:rPr>
          <w:sz w:val="19"/>
        </w:rPr>
        <w:t>Overdue</w:t>
      </w:r>
      <w:r>
        <w:rPr>
          <w:spacing w:val="-4"/>
          <w:sz w:val="19"/>
        </w:rPr>
        <w:t> </w:t>
      </w:r>
      <w:r>
        <w:rPr>
          <w:sz w:val="19"/>
        </w:rPr>
        <w:t>ILL</w:t>
      </w:r>
      <w:r>
        <w:rPr>
          <w:spacing w:val="-3"/>
          <w:sz w:val="19"/>
        </w:rPr>
        <w:t> </w:t>
      </w:r>
      <w:r>
        <w:rPr>
          <w:sz w:val="19"/>
        </w:rPr>
        <w:t>Items</w:t>
      </w:r>
      <w:r>
        <w:rPr>
          <w:spacing w:val="-3"/>
          <w:sz w:val="19"/>
        </w:rPr>
        <w:t> </w:t>
      </w:r>
      <w:r>
        <w:rPr>
          <w:sz w:val="19"/>
        </w:rPr>
        <w:t>-</w:t>
      </w:r>
      <w:r>
        <w:rPr>
          <w:spacing w:val="-4"/>
          <w:sz w:val="19"/>
        </w:rPr>
        <w:t> </w:t>
      </w:r>
      <w:r>
        <w:rPr>
          <w:sz w:val="19"/>
        </w:rPr>
        <w:t>$1.00</w:t>
      </w:r>
      <w:r>
        <w:rPr>
          <w:spacing w:val="-2"/>
          <w:sz w:val="19"/>
        </w:rPr>
        <w:t> </w:t>
      </w:r>
      <w:r>
        <w:rPr>
          <w:sz w:val="19"/>
        </w:rPr>
        <w:t>per</w:t>
      </w:r>
      <w:r>
        <w:rPr>
          <w:spacing w:val="-5"/>
          <w:sz w:val="19"/>
        </w:rPr>
        <w:t> </w:t>
      </w:r>
      <w:r>
        <w:rPr>
          <w:sz w:val="19"/>
        </w:rPr>
        <w:t>book</w:t>
      </w:r>
      <w:r>
        <w:rPr>
          <w:spacing w:val="-3"/>
          <w:sz w:val="19"/>
        </w:rPr>
        <w:t> </w:t>
      </w:r>
      <w:r>
        <w:rPr>
          <w:sz w:val="19"/>
        </w:rPr>
        <w:t>or</w:t>
      </w:r>
      <w:r>
        <w:rPr>
          <w:spacing w:val="-5"/>
          <w:sz w:val="19"/>
        </w:rPr>
        <w:t> </w:t>
      </w:r>
      <w:r>
        <w:rPr>
          <w:sz w:val="19"/>
        </w:rPr>
        <w:t>unit,</w:t>
      </w:r>
      <w:r>
        <w:rPr>
          <w:spacing w:val="-5"/>
          <w:sz w:val="19"/>
        </w:rPr>
        <w:t> </w:t>
      </w:r>
      <w:r>
        <w:rPr>
          <w:sz w:val="19"/>
        </w:rPr>
        <w:t>per</w:t>
      </w:r>
      <w:r>
        <w:rPr>
          <w:spacing w:val="-4"/>
          <w:sz w:val="19"/>
        </w:rPr>
        <w:t> </w:t>
      </w:r>
      <w:r>
        <w:rPr>
          <w:sz w:val="19"/>
        </w:rPr>
        <w:t>day</w:t>
      </w:r>
      <w:r>
        <w:rPr>
          <w:color w:val="0101FF"/>
          <w:sz w:val="19"/>
        </w:rPr>
        <w:t>,</w:t>
      </w:r>
      <w:r>
        <w:rPr>
          <w:color w:val="0101FF"/>
          <w:spacing w:val="-5"/>
          <w:sz w:val="19"/>
        </w:rPr>
        <w:t> </w:t>
      </w:r>
      <w:r>
        <w:rPr>
          <w:color w:val="0101FF"/>
          <w:sz w:val="19"/>
        </w:rPr>
        <w:t>up</w:t>
      </w:r>
      <w:r>
        <w:rPr>
          <w:color w:val="0101FF"/>
          <w:spacing w:val="-4"/>
          <w:sz w:val="19"/>
        </w:rPr>
        <w:t> </w:t>
      </w:r>
      <w:r>
        <w:rPr>
          <w:color w:val="0101FF"/>
          <w:sz w:val="19"/>
        </w:rPr>
        <w:t>to</w:t>
      </w:r>
      <w:r>
        <w:rPr>
          <w:color w:val="0101FF"/>
          <w:spacing w:val="-4"/>
          <w:sz w:val="19"/>
        </w:rPr>
        <w:t> </w:t>
      </w:r>
      <w:r>
        <w:rPr>
          <w:color w:val="0101FF"/>
          <w:sz w:val="19"/>
        </w:rPr>
        <w:t>$5.00</w:t>
      </w:r>
      <w:r>
        <w:rPr>
          <w:color w:val="0101FF"/>
          <w:spacing w:val="18"/>
          <w:sz w:val="19"/>
        </w:rPr>
        <w:t> </w:t>
      </w:r>
      <w:r>
        <w:rPr>
          <w:color w:val="0101FF"/>
          <w:spacing w:val="-2"/>
          <w:sz w:val="19"/>
        </w:rPr>
        <w:t>maximum</w:t>
      </w:r>
      <w:r>
        <w:rPr>
          <w:spacing w:val="-2"/>
          <w:sz w:val="19"/>
        </w:rPr>
        <w:t>.</w:t>
      </w:r>
    </w:p>
    <w:p>
      <w:pPr>
        <w:pStyle w:val="BodyText"/>
        <w:rPr>
          <w:sz w:val="20"/>
        </w:rPr>
      </w:pPr>
    </w:p>
    <w:p>
      <w:pPr>
        <w:pStyle w:val="ListParagraph"/>
        <w:numPr>
          <w:ilvl w:val="0"/>
          <w:numId w:val="3"/>
        </w:numPr>
        <w:tabs>
          <w:tab w:pos="1530" w:val="left" w:leader="none"/>
          <w:tab w:pos="1531" w:val="left" w:leader="none"/>
        </w:tabs>
        <w:spacing w:line="240" w:lineRule="auto" w:before="0" w:after="0"/>
        <w:ind w:left="1530" w:right="0" w:hanging="584"/>
        <w:jc w:val="left"/>
        <w:rPr>
          <w:sz w:val="19"/>
        </w:rPr>
      </w:pPr>
      <w:r>
        <w:rPr>
          <w:sz w:val="19"/>
        </w:rPr>
        <w:t>Late</w:t>
      </w:r>
      <w:r>
        <w:rPr>
          <w:spacing w:val="-5"/>
          <w:sz w:val="19"/>
        </w:rPr>
        <w:t> </w:t>
      </w:r>
      <w:r>
        <w:rPr>
          <w:sz w:val="19"/>
        </w:rPr>
        <w:t>Equipment</w:t>
      </w:r>
      <w:r>
        <w:rPr>
          <w:spacing w:val="-5"/>
          <w:sz w:val="19"/>
        </w:rPr>
        <w:t> </w:t>
      </w:r>
      <w:r>
        <w:rPr>
          <w:sz w:val="19"/>
        </w:rPr>
        <w:t>Fee</w:t>
      </w:r>
      <w:r>
        <w:rPr>
          <w:spacing w:val="-5"/>
          <w:sz w:val="19"/>
        </w:rPr>
        <w:t> </w:t>
      </w:r>
      <w:r>
        <w:rPr>
          <w:strike/>
          <w:color w:val="C00000"/>
          <w:sz w:val="19"/>
        </w:rPr>
        <w:t>(Physical</w:t>
      </w:r>
      <w:r>
        <w:rPr>
          <w:strike/>
          <w:color w:val="C00000"/>
          <w:spacing w:val="-6"/>
          <w:sz w:val="19"/>
        </w:rPr>
        <w:t> </w:t>
      </w:r>
      <w:r>
        <w:rPr>
          <w:strike/>
          <w:color w:val="C00000"/>
          <w:sz w:val="19"/>
        </w:rPr>
        <w:t>Education)</w:t>
      </w:r>
      <w:r>
        <w:rPr>
          <w:strike w:val="0"/>
          <w:color w:val="C00000"/>
          <w:spacing w:val="-6"/>
          <w:sz w:val="19"/>
        </w:rPr>
        <w:t> </w:t>
      </w:r>
      <w:r>
        <w:rPr>
          <w:strike w:val="0"/>
          <w:sz w:val="19"/>
        </w:rPr>
        <w:t>-</w:t>
      </w:r>
      <w:r>
        <w:rPr>
          <w:strike w:val="0"/>
          <w:spacing w:val="-6"/>
          <w:sz w:val="19"/>
        </w:rPr>
        <w:t> </w:t>
      </w:r>
      <w:r>
        <w:rPr>
          <w:strike w:val="0"/>
          <w:sz w:val="19"/>
        </w:rPr>
        <w:t>$.25</w:t>
      </w:r>
      <w:r>
        <w:rPr>
          <w:strike w:val="0"/>
          <w:spacing w:val="-5"/>
          <w:sz w:val="19"/>
        </w:rPr>
        <w:t> </w:t>
      </w:r>
      <w:r>
        <w:rPr>
          <w:strike w:val="0"/>
          <w:sz w:val="19"/>
        </w:rPr>
        <w:t>per</w:t>
      </w:r>
      <w:r>
        <w:rPr>
          <w:strike w:val="0"/>
          <w:spacing w:val="-6"/>
          <w:sz w:val="19"/>
        </w:rPr>
        <w:t> </w:t>
      </w:r>
      <w:r>
        <w:rPr>
          <w:strike w:val="0"/>
          <w:sz w:val="19"/>
        </w:rPr>
        <w:t>item,</w:t>
      </w:r>
      <w:r>
        <w:rPr>
          <w:strike w:val="0"/>
          <w:spacing w:val="-4"/>
          <w:sz w:val="19"/>
        </w:rPr>
        <w:t> </w:t>
      </w:r>
      <w:r>
        <w:rPr>
          <w:strike w:val="0"/>
          <w:sz w:val="19"/>
        </w:rPr>
        <w:t>per</w:t>
      </w:r>
      <w:r>
        <w:rPr>
          <w:strike w:val="0"/>
          <w:spacing w:val="6"/>
          <w:sz w:val="19"/>
        </w:rPr>
        <w:t> </w:t>
      </w:r>
      <w:r>
        <w:rPr>
          <w:strike w:val="0"/>
          <w:spacing w:val="-4"/>
          <w:sz w:val="19"/>
        </w:rPr>
        <w:t>day.</w:t>
      </w:r>
    </w:p>
    <w:p>
      <w:pPr>
        <w:pStyle w:val="BodyText"/>
        <w:spacing w:before="10"/>
        <w:rPr>
          <w:sz w:val="11"/>
        </w:rPr>
      </w:pPr>
    </w:p>
    <w:p>
      <w:pPr>
        <w:pStyle w:val="ListParagraph"/>
        <w:numPr>
          <w:ilvl w:val="0"/>
          <w:numId w:val="3"/>
        </w:numPr>
        <w:tabs>
          <w:tab w:pos="1530" w:val="left" w:leader="none"/>
          <w:tab w:pos="1531" w:val="left" w:leader="none"/>
        </w:tabs>
        <w:spacing w:line="240" w:lineRule="auto" w:before="91" w:after="0"/>
        <w:ind w:left="1530" w:right="0" w:hanging="584"/>
        <w:jc w:val="left"/>
        <w:rPr>
          <w:sz w:val="19"/>
        </w:rPr>
      </w:pPr>
      <w:r>
        <w:rPr>
          <w:spacing w:val="-2"/>
          <w:sz w:val="19"/>
        </w:rPr>
        <w:t>Security/Access/Identification</w:t>
      </w:r>
      <w:r>
        <w:rPr>
          <w:spacing w:val="15"/>
          <w:sz w:val="19"/>
        </w:rPr>
        <w:t> </w:t>
      </w:r>
      <w:r>
        <w:rPr>
          <w:spacing w:val="-2"/>
          <w:sz w:val="19"/>
        </w:rPr>
        <w:t>Card;</w:t>
      </w:r>
      <w:r>
        <w:rPr>
          <w:spacing w:val="23"/>
          <w:sz w:val="19"/>
        </w:rPr>
        <w:t> </w:t>
      </w:r>
      <w:r>
        <w:rPr>
          <w:spacing w:val="-2"/>
          <w:sz w:val="19"/>
        </w:rPr>
        <w:t>Duplicate:</w:t>
      </w:r>
    </w:p>
    <w:p>
      <w:pPr>
        <w:pStyle w:val="BodyText"/>
        <w:spacing w:before="10"/>
      </w:pPr>
    </w:p>
    <w:p>
      <w:pPr>
        <w:pStyle w:val="ListParagraph"/>
        <w:numPr>
          <w:ilvl w:val="1"/>
          <w:numId w:val="3"/>
        </w:numPr>
        <w:tabs>
          <w:tab w:pos="1530" w:val="left" w:leader="none"/>
          <w:tab w:pos="1531" w:val="left" w:leader="none"/>
        </w:tabs>
        <w:spacing w:line="240" w:lineRule="auto" w:before="0" w:after="0"/>
        <w:ind w:left="1530" w:right="0" w:hanging="584"/>
        <w:jc w:val="left"/>
        <w:rPr>
          <w:sz w:val="19"/>
        </w:rPr>
      </w:pPr>
      <w:r>
        <w:rPr>
          <w:sz w:val="19"/>
        </w:rPr>
        <w:t>Annual</w:t>
      </w:r>
      <w:r>
        <w:rPr>
          <w:spacing w:val="-6"/>
          <w:sz w:val="19"/>
        </w:rPr>
        <w:t> </w:t>
      </w:r>
      <w:r>
        <w:rPr>
          <w:sz w:val="19"/>
        </w:rPr>
        <w:t>$</w:t>
      </w:r>
      <w:r>
        <w:rPr>
          <w:strike/>
          <w:color w:val="C00000"/>
          <w:sz w:val="19"/>
        </w:rPr>
        <w:t>10.00</w:t>
      </w:r>
      <w:r>
        <w:rPr>
          <w:strike w:val="0"/>
          <w:color w:val="C00000"/>
          <w:spacing w:val="-6"/>
          <w:sz w:val="19"/>
        </w:rPr>
        <w:t> </w:t>
      </w:r>
      <w:r>
        <w:rPr>
          <w:strike w:val="0"/>
          <w:color w:val="C00000"/>
          <w:sz w:val="19"/>
        </w:rPr>
        <w:t>7.00</w:t>
      </w:r>
      <w:r>
        <w:rPr>
          <w:strike w:val="0"/>
          <w:sz w:val="19"/>
        </w:rPr>
        <w:t>;</w:t>
      </w:r>
      <w:r>
        <w:rPr>
          <w:strike w:val="0"/>
          <w:spacing w:val="-6"/>
          <w:sz w:val="19"/>
        </w:rPr>
        <w:t> </w:t>
      </w:r>
      <w:r>
        <w:rPr>
          <w:strike w:val="0"/>
          <w:spacing w:val="-5"/>
          <w:sz w:val="19"/>
        </w:rPr>
        <w:t>and</w:t>
      </w:r>
    </w:p>
    <w:p>
      <w:pPr>
        <w:pStyle w:val="BodyText"/>
        <w:rPr>
          <w:sz w:val="12"/>
        </w:rPr>
      </w:pPr>
    </w:p>
    <w:p>
      <w:pPr>
        <w:pStyle w:val="ListParagraph"/>
        <w:numPr>
          <w:ilvl w:val="1"/>
          <w:numId w:val="3"/>
        </w:numPr>
        <w:tabs>
          <w:tab w:pos="1530" w:val="left" w:leader="none"/>
          <w:tab w:pos="1531" w:val="left" w:leader="none"/>
        </w:tabs>
        <w:spacing w:line="240" w:lineRule="auto" w:before="92" w:after="0"/>
        <w:ind w:left="1530" w:right="0" w:hanging="584"/>
        <w:jc w:val="left"/>
        <w:rPr>
          <w:sz w:val="19"/>
        </w:rPr>
      </w:pPr>
      <w:r>
        <w:rPr>
          <w:sz w:val="19"/>
        </w:rPr>
        <w:t>Duplicates</w:t>
      </w:r>
      <w:r>
        <w:rPr>
          <w:spacing w:val="-10"/>
          <w:sz w:val="19"/>
        </w:rPr>
        <w:t> </w:t>
      </w:r>
      <w:r>
        <w:rPr>
          <w:spacing w:val="-2"/>
          <w:sz w:val="19"/>
        </w:rPr>
        <w:t>$15.00</w:t>
      </w:r>
      <w:r>
        <w:rPr>
          <w:color w:val="C00000"/>
          <w:spacing w:val="-2"/>
          <w:sz w:val="19"/>
        </w:rPr>
        <w:t>.</w:t>
      </w:r>
    </w:p>
    <w:p>
      <w:pPr>
        <w:pStyle w:val="BodyText"/>
        <w:spacing w:before="9"/>
      </w:pPr>
    </w:p>
    <w:p>
      <w:pPr>
        <w:pStyle w:val="ListParagraph"/>
        <w:numPr>
          <w:ilvl w:val="0"/>
          <w:numId w:val="3"/>
        </w:numPr>
        <w:tabs>
          <w:tab w:pos="1530" w:val="left" w:leader="none"/>
          <w:tab w:pos="1531" w:val="left" w:leader="none"/>
        </w:tabs>
        <w:spacing w:line="240" w:lineRule="auto" w:before="1" w:after="0"/>
        <w:ind w:left="1530" w:right="0" w:hanging="584"/>
        <w:jc w:val="left"/>
        <w:rPr>
          <w:sz w:val="19"/>
        </w:rPr>
      </w:pPr>
      <w:r>
        <w:rPr>
          <w:sz w:val="19"/>
        </w:rPr>
        <w:t>Duplicating/Photocopying</w:t>
      </w:r>
      <w:r>
        <w:rPr>
          <w:spacing w:val="-7"/>
          <w:sz w:val="19"/>
        </w:rPr>
        <w:t> </w:t>
      </w:r>
      <w:r>
        <w:rPr>
          <w:sz w:val="19"/>
        </w:rPr>
        <w:t>fee</w:t>
      </w:r>
      <w:r>
        <w:rPr>
          <w:spacing w:val="-6"/>
          <w:sz w:val="19"/>
        </w:rPr>
        <w:t> </w:t>
      </w:r>
      <w:r>
        <w:rPr>
          <w:sz w:val="19"/>
        </w:rPr>
        <w:t>for</w:t>
      </w:r>
      <w:r>
        <w:rPr>
          <w:spacing w:val="-7"/>
          <w:sz w:val="19"/>
        </w:rPr>
        <w:t> </w:t>
      </w:r>
      <w:r>
        <w:rPr>
          <w:sz w:val="19"/>
        </w:rPr>
        <w:t>personal</w:t>
      </w:r>
      <w:r>
        <w:rPr>
          <w:spacing w:val="-7"/>
          <w:sz w:val="19"/>
        </w:rPr>
        <w:t> </w:t>
      </w:r>
      <w:r>
        <w:rPr>
          <w:sz w:val="19"/>
        </w:rPr>
        <w:t>use</w:t>
      </w:r>
      <w:r>
        <w:rPr>
          <w:spacing w:val="-6"/>
          <w:sz w:val="19"/>
        </w:rPr>
        <w:t> </w:t>
      </w:r>
      <w:r>
        <w:rPr>
          <w:sz w:val="19"/>
        </w:rPr>
        <w:t>only</w:t>
      </w:r>
      <w:r>
        <w:rPr>
          <w:spacing w:val="-6"/>
          <w:sz w:val="19"/>
        </w:rPr>
        <w:t> </w:t>
      </w:r>
      <w:r>
        <w:rPr>
          <w:sz w:val="19"/>
        </w:rPr>
        <w:t>– </w:t>
      </w:r>
      <w:r>
        <w:rPr>
          <w:spacing w:val="-2"/>
          <w:sz w:val="19"/>
        </w:rPr>
        <w:t>cost.</w:t>
      </w:r>
    </w:p>
    <w:p>
      <w:pPr>
        <w:spacing w:after="0" w:line="240" w:lineRule="auto"/>
        <w:jc w:val="left"/>
        <w:rPr>
          <w:sz w:val="19"/>
        </w:rPr>
        <w:sectPr>
          <w:pgSz w:w="12240" w:h="15840"/>
          <w:pgMar w:top="1420" w:bottom="280" w:left="800" w:right="1020"/>
        </w:sectPr>
      </w:pPr>
    </w:p>
    <w:p>
      <w:pPr>
        <w:pStyle w:val="ListParagraph"/>
        <w:numPr>
          <w:ilvl w:val="0"/>
          <w:numId w:val="3"/>
        </w:numPr>
        <w:tabs>
          <w:tab w:pos="1530" w:val="left" w:leader="none"/>
          <w:tab w:pos="1531" w:val="left" w:leader="none"/>
        </w:tabs>
        <w:spacing w:line="489" w:lineRule="auto" w:before="81" w:after="0"/>
        <w:ind w:left="366" w:right="3072" w:firstLine="580"/>
        <w:jc w:val="left"/>
        <w:rPr>
          <w:sz w:val="19"/>
        </w:rPr>
      </w:pPr>
      <w:r>
        <w:rPr>
          <w:sz w:val="19"/>
        </w:rPr>
        <w:t>Standardized</w:t>
      </w:r>
      <w:r>
        <w:rPr>
          <w:spacing w:val="-3"/>
          <w:sz w:val="19"/>
        </w:rPr>
        <w:t> </w:t>
      </w:r>
      <w:r>
        <w:rPr>
          <w:sz w:val="19"/>
        </w:rPr>
        <w:t>Tests</w:t>
      </w:r>
      <w:r>
        <w:rPr>
          <w:spacing w:val="-3"/>
          <w:sz w:val="19"/>
        </w:rPr>
        <w:t> </w:t>
      </w:r>
      <w:r>
        <w:rPr>
          <w:sz w:val="19"/>
        </w:rPr>
        <w:t>–</w:t>
      </w:r>
      <w:r>
        <w:rPr>
          <w:spacing w:val="-5"/>
          <w:sz w:val="19"/>
        </w:rPr>
        <w:t> </w:t>
      </w:r>
      <w:r>
        <w:rPr>
          <w:sz w:val="19"/>
        </w:rPr>
        <w:t>The</w:t>
      </w:r>
      <w:r>
        <w:rPr>
          <w:spacing w:val="-4"/>
          <w:sz w:val="19"/>
        </w:rPr>
        <w:t> </w:t>
      </w:r>
      <w:r>
        <w:rPr>
          <w:sz w:val="19"/>
        </w:rPr>
        <w:t>fee</w:t>
      </w:r>
      <w:r>
        <w:rPr>
          <w:spacing w:val="-4"/>
          <w:sz w:val="19"/>
        </w:rPr>
        <w:t> </w:t>
      </w:r>
      <w:r>
        <w:rPr>
          <w:sz w:val="19"/>
        </w:rPr>
        <w:t>for</w:t>
      </w:r>
      <w:r>
        <w:rPr>
          <w:spacing w:val="-5"/>
          <w:sz w:val="19"/>
        </w:rPr>
        <w:t> </w:t>
      </w:r>
      <w:r>
        <w:rPr>
          <w:sz w:val="19"/>
        </w:rPr>
        <w:t>all</w:t>
      </w:r>
      <w:r>
        <w:rPr>
          <w:spacing w:val="-4"/>
          <w:sz w:val="19"/>
        </w:rPr>
        <w:t> </w:t>
      </w:r>
      <w:r>
        <w:rPr>
          <w:sz w:val="19"/>
        </w:rPr>
        <w:t>standardized</w:t>
      </w:r>
      <w:r>
        <w:rPr>
          <w:spacing w:val="-3"/>
          <w:sz w:val="19"/>
        </w:rPr>
        <w:t> </w:t>
      </w:r>
      <w:r>
        <w:rPr>
          <w:sz w:val="19"/>
        </w:rPr>
        <w:t>test</w:t>
      </w:r>
      <w:r>
        <w:rPr>
          <w:spacing w:val="-4"/>
          <w:sz w:val="19"/>
        </w:rPr>
        <w:t> </w:t>
      </w:r>
      <w:r>
        <w:rPr>
          <w:sz w:val="19"/>
        </w:rPr>
        <w:t>(GRE,</w:t>
      </w:r>
      <w:r>
        <w:rPr>
          <w:spacing w:val="-3"/>
          <w:sz w:val="19"/>
        </w:rPr>
        <w:t> </w:t>
      </w:r>
      <w:r>
        <w:rPr>
          <w:sz w:val="19"/>
        </w:rPr>
        <w:t>URE,</w:t>
      </w:r>
      <w:r>
        <w:rPr>
          <w:spacing w:val="-3"/>
          <w:sz w:val="19"/>
        </w:rPr>
        <w:t> </w:t>
      </w:r>
      <w:r>
        <w:rPr>
          <w:sz w:val="19"/>
        </w:rPr>
        <w:t>etc.,)</w:t>
      </w:r>
      <w:r>
        <w:rPr>
          <w:spacing w:val="-5"/>
          <w:sz w:val="19"/>
        </w:rPr>
        <w:t> </w:t>
      </w:r>
      <w:r>
        <w:rPr>
          <w:sz w:val="19"/>
        </w:rPr>
        <w:t>will consist of the costs of administering the tests.</w:t>
      </w:r>
    </w:p>
    <w:p>
      <w:pPr>
        <w:pStyle w:val="ListParagraph"/>
        <w:numPr>
          <w:ilvl w:val="0"/>
          <w:numId w:val="3"/>
        </w:numPr>
        <w:tabs>
          <w:tab w:pos="1530" w:val="left" w:leader="none"/>
          <w:tab w:pos="1531" w:val="left" w:leader="none"/>
        </w:tabs>
        <w:spacing w:line="215" w:lineRule="exact" w:before="0" w:after="0"/>
        <w:ind w:left="1530" w:right="0" w:hanging="585"/>
        <w:jc w:val="left"/>
        <w:rPr>
          <w:sz w:val="19"/>
        </w:rPr>
      </w:pPr>
      <w:r>
        <w:rPr>
          <w:sz w:val="19"/>
        </w:rPr>
        <w:t>Binding</w:t>
      </w:r>
      <w:r>
        <w:rPr>
          <w:spacing w:val="-4"/>
          <w:sz w:val="19"/>
        </w:rPr>
        <w:t> </w:t>
      </w:r>
      <w:r>
        <w:rPr>
          <w:sz w:val="19"/>
        </w:rPr>
        <w:t>Fee</w:t>
      </w:r>
      <w:r>
        <w:rPr>
          <w:spacing w:val="-4"/>
          <w:sz w:val="19"/>
        </w:rPr>
        <w:t> </w:t>
      </w:r>
      <w:r>
        <w:rPr>
          <w:sz w:val="19"/>
        </w:rPr>
        <w:t>–</w:t>
      </w:r>
      <w:r>
        <w:rPr>
          <w:spacing w:val="-5"/>
          <w:sz w:val="19"/>
        </w:rPr>
        <w:t> </w:t>
      </w:r>
      <w:r>
        <w:rPr>
          <w:sz w:val="19"/>
        </w:rPr>
        <w:t>(Thesis</w:t>
      </w:r>
      <w:r>
        <w:rPr>
          <w:spacing w:val="-4"/>
          <w:sz w:val="19"/>
        </w:rPr>
        <w:t> </w:t>
      </w:r>
      <w:r>
        <w:rPr>
          <w:sz w:val="19"/>
        </w:rPr>
        <w:t>and</w:t>
      </w:r>
      <w:r>
        <w:rPr>
          <w:spacing w:val="-5"/>
          <w:sz w:val="19"/>
        </w:rPr>
        <w:t> </w:t>
      </w:r>
      <w:r>
        <w:rPr>
          <w:sz w:val="19"/>
        </w:rPr>
        <w:t>Dissertation)</w:t>
      </w:r>
      <w:r>
        <w:rPr>
          <w:spacing w:val="-5"/>
          <w:sz w:val="19"/>
        </w:rPr>
        <w:t> </w:t>
      </w:r>
      <w:r>
        <w:rPr>
          <w:sz w:val="19"/>
        </w:rPr>
        <w:t>–</w:t>
      </w:r>
      <w:r>
        <w:rPr>
          <w:spacing w:val="60"/>
          <w:sz w:val="19"/>
        </w:rPr>
        <w:t> </w:t>
      </w:r>
      <w:r>
        <w:rPr>
          <w:spacing w:val="-2"/>
          <w:sz w:val="19"/>
        </w:rPr>
        <w:t>cost.</w:t>
      </w:r>
    </w:p>
    <w:p>
      <w:pPr>
        <w:pStyle w:val="BodyText"/>
        <w:spacing w:before="2"/>
        <w:rPr>
          <w:sz w:val="20"/>
        </w:rPr>
      </w:pPr>
    </w:p>
    <w:p>
      <w:pPr>
        <w:pStyle w:val="ListParagraph"/>
        <w:numPr>
          <w:ilvl w:val="0"/>
          <w:numId w:val="3"/>
        </w:numPr>
        <w:tabs>
          <w:tab w:pos="1530" w:val="left" w:leader="none"/>
          <w:tab w:pos="1531" w:val="left" w:leader="none"/>
        </w:tabs>
        <w:spacing w:line="240" w:lineRule="auto" w:before="1" w:after="0"/>
        <w:ind w:left="1530" w:right="0" w:hanging="585"/>
        <w:jc w:val="left"/>
        <w:rPr>
          <w:sz w:val="19"/>
        </w:rPr>
      </w:pPr>
      <w:r>
        <w:rPr>
          <w:sz w:val="19"/>
        </w:rPr>
        <w:t>Microfilm</w:t>
      </w:r>
      <w:r>
        <w:rPr>
          <w:spacing w:val="-6"/>
          <w:sz w:val="19"/>
        </w:rPr>
        <w:t> </w:t>
      </w:r>
      <w:r>
        <w:rPr>
          <w:sz w:val="19"/>
        </w:rPr>
        <w:t>Fee</w:t>
      </w:r>
      <w:r>
        <w:rPr>
          <w:spacing w:val="-5"/>
          <w:sz w:val="19"/>
        </w:rPr>
        <w:t> </w:t>
      </w:r>
      <w:r>
        <w:rPr>
          <w:sz w:val="19"/>
        </w:rPr>
        <w:t>(Thesis</w:t>
      </w:r>
      <w:r>
        <w:rPr>
          <w:spacing w:val="-4"/>
          <w:sz w:val="19"/>
        </w:rPr>
        <w:t> </w:t>
      </w:r>
      <w:r>
        <w:rPr>
          <w:sz w:val="19"/>
        </w:rPr>
        <w:t>and</w:t>
      </w:r>
      <w:r>
        <w:rPr>
          <w:spacing w:val="-4"/>
          <w:sz w:val="19"/>
        </w:rPr>
        <w:t> </w:t>
      </w:r>
      <w:r>
        <w:rPr>
          <w:sz w:val="19"/>
        </w:rPr>
        <w:t>Dissertation)</w:t>
      </w:r>
      <w:r>
        <w:rPr>
          <w:spacing w:val="-6"/>
          <w:sz w:val="19"/>
        </w:rPr>
        <w:t> </w:t>
      </w:r>
      <w:r>
        <w:rPr>
          <w:sz w:val="19"/>
        </w:rPr>
        <w:t>–</w:t>
      </w:r>
      <w:r>
        <w:rPr>
          <w:spacing w:val="62"/>
          <w:sz w:val="19"/>
        </w:rPr>
        <w:t> </w:t>
      </w:r>
      <w:r>
        <w:rPr>
          <w:spacing w:val="-2"/>
          <w:sz w:val="19"/>
        </w:rPr>
        <w:t>cost.</w:t>
      </w:r>
    </w:p>
    <w:p>
      <w:pPr>
        <w:pStyle w:val="BodyText"/>
        <w:spacing w:before="9"/>
      </w:pPr>
    </w:p>
    <w:p>
      <w:pPr>
        <w:pStyle w:val="ListParagraph"/>
        <w:numPr>
          <w:ilvl w:val="0"/>
          <w:numId w:val="3"/>
        </w:numPr>
        <w:tabs>
          <w:tab w:pos="1530" w:val="left" w:leader="none"/>
          <w:tab w:pos="1531" w:val="left" w:leader="none"/>
        </w:tabs>
        <w:spacing w:line="240" w:lineRule="auto" w:before="0" w:after="0"/>
        <w:ind w:left="1530" w:right="0" w:hanging="585"/>
        <w:jc w:val="left"/>
        <w:rPr>
          <w:sz w:val="19"/>
        </w:rPr>
      </w:pPr>
      <w:r>
        <w:rPr>
          <w:sz w:val="19"/>
        </w:rPr>
        <w:t>Copyright</w:t>
      </w:r>
      <w:r>
        <w:rPr>
          <w:spacing w:val="-7"/>
          <w:sz w:val="19"/>
        </w:rPr>
        <w:t> </w:t>
      </w:r>
      <w:r>
        <w:rPr>
          <w:sz w:val="19"/>
        </w:rPr>
        <w:t>Fee</w:t>
      </w:r>
      <w:r>
        <w:rPr>
          <w:spacing w:val="-6"/>
          <w:sz w:val="19"/>
        </w:rPr>
        <w:t> </w:t>
      </w:r>
      <w:r>
        <w:rPr>
          <w:sz w:val="19"/>
        </w:rPr>
        <w:t>(Dissertation)</w:t>
      </w:r>
      <w:r>
        <w:rPr>
          <w:spacing w:val="-7"/>
          <w:sz w:val="19"/>
        </w:rPr>
        <w:t> </w:t>
      </w:r>
      <w:r>
        <w:rPr>
          <w:sz w:val="19"/>
        </w:rPr>
        <w:t>–</w:t>
      </w:r>
      <w:r>
        <w:rPr>
          <w:spacing w:val="-5"/>
          <w:sz w:val="19"/>
        </w:rPr>
        <w:t> </w:t>
      </w:r>
      <w:r>
        <w:rPr>
          <w:spacing w:val="-2"/>
          <w:sz w:val="19"/>
        </w:rPr>
        <w:t>cost.</w:t>
      </w:r>
    </w:p>
    <w:p>
      <w:pPr>
        <w:pStyle w:val="BodyText"/>
        <w:spacing w:before="9"/>
      </w:pPr>
    </w:p>
    <w:p>
      <w:pPr>
        <w:pStyle w:val="ListParagraph"/>
        <w:numPr>
          <w:ilvl w:val="0"/>
          <w:numId w:val="3"/>
        </w:numPr>
        <w:tabs>
          <w:tab w:pos="1530" w:val="left" w:leader="none"/>
          <w:tab w:pos="1531" w:val="left" w:leader="none"/>
        </w:tabs>
        <w:spacing w:line="240" w:lineRule="auto" w:before="1" w:after="0"/>
        <w:ind w:left="1530" w:right="0" w:hanging="585"/>
        <w:jc w:val="left"/>
        <w:rPr>
          <w:sz w:val="19"/>
        </w:rPr>
      </w:pPr>
      <w:r>
        <w:rPr>
          <w:sz w:val="19"/>
        </w:rPr>
        <w:t>All</w:t>
      </w:r>
      <w:r>
        <w:rPr>
          <w:spacing w:val="-6"/>
          <w:sz w:val="19"/>
        </w:rPr>
        <w:t> </w:t>
      </w:r>
      <w:r>
        <w:rPr>
          <w:sz w:val="19"/>
        </w:rPr>
        <w:t>breakage</w:t>
      </w:r>
      <w:r>
        <w:rPr>
          <w:spacing w:val="-6"/>
          <w:sz w:val="19"/>
        </w:rPr>
        <w:t> </w:t>
      </w:r>
      <w:r>
        <w:rPr>
          <w:sz w:val="19"/>
        </w:rPr>
        <w:t>and</w:t>
      </w:r>
      <w:r>
        <w:rPr>
          <w:spacing w:val="-5"/>
          <w:sz w:val="19"/>
        </w:rPr>
        <w:t> </w:t>
      </w:r>
      <w:r>
        <w:rPr>
          <w:sz w:val="19"/>
        </w:rPr>
        <w:t>lost</w:t>
      </w:r>
      <w:r>
        <w:rPr>
          <w:spacing w:val="-6"/>
          <w:sz w:val="19"/>
        </w:rPr>
        <w:t> </w:t>
      </w:r>
      <w:r>
        <w:rPr>
          <w:sz w:val="19"/>
        </w:rPr>
        <w:t>library</w:t>
      </w:r>
      <w:r>
        <w:rPr>
          <w:spacing w:val="-5"/>
          <w:sz w:val="19"/>
        </w:rPr>
        <w:t> </w:t>
      </w:r>
      <w:r>
        <w:rPr>
          <w:sz w:val="19"/>
        </w:rPr>
        <w:t>materials</w:t>
      </w:r>
      <w:r>
        <w:rPr>
          <w:spacing w:val="-5"/>
          <w:sz w:val="19"/>
        </w:rPr>
        <w:t> </w:t>
      </w:r>
      <w:r>
        <w:rPr>
          <w:sz w:val="19"/>
        </w:rPr>
        <w:t>–</w:t>
      </w:r>
      <w:r>
        <w:rPr>
          <w:spacing w:val="2"/>
          <w:sz w:val="19"/>
        </w:rPr>
        <w:t> </w:t>
      </w:r>
      <w:r>
        <w:rPr>
          <w:spacing w:val="-2"/>
          <w:sz w:val="19"/>
        </w:rPr>
        <w:t>cost.</w:t>
      </w:r>
    </w:p>
    <w:p>
      <w:pPr>
        <w:pStyle w:val="BodyText"/>
        <w:spacing w:before="9"/>
      </w:pPr>
    </w:p>
    <w:p>
      <w:pPr>
        <w:pStyle w:val="ListParagraph"/>
        <w:numPr>
          <w:ilvl w:val="0"/>
          <w:numId w:val="3"/>
        </w:numPr>
        <w:tabs>
          <w:tab w:pos="1530" w:val="left" w:leader="none"/>
          <w:tab w:pos="1531" w:val="left" w:leader="none"/>
        </w:tabs>
        <w:spacing w:line="240" w:lineRule="auto" w:before="0" w:after="0"/>
        <w:ind w:left="1530" w:right="0" w:hanging="585"/>
        <w:jc w:val="left"/>
        <w:rPr>
          <w:sz w:val="19"/>
        </w:rPr>
      </w:pPr>
      <w:r>
        <w:rPr>
          <w:sz w:val="19"/>
        </w:rPr>
        <w:t>Lost</w:t>
      </w:r>
      <w:r>
        <w:rPr>
          <w:spacing w:val="-7"/>
          <w:sz w:val="19"/>
        </w:rPr>
        <w:t> </w:t>
      </w:r>
      <w:r>
        <w:rPr>
          <w:sz w:val="19"/>
        </w:rPr>
        <w:t>Keys/cylinder</w:t>
      </w:r>
      <w:r>
        <w:rPr>
          <w:spacing w:val="-7"/>
          <w:sz w:val="19"/>
        </w:rPr>
        <w:t> </w:t>
      </w:r>
      <w:r>
        <w:rPr>
          <w:sz w:val="19"/>
        </w:rPr>
        <w:t>change</w:t>
      </w:r>
      <w:r>
        <w:rPr>
          <w:spacing w:val="-6"/>
          <w:sz w:val="19"/>
        </w:rPr>
        <w:t> </w:t>
      </w:r>
      <w:r>
        <w:rPr>
          <w:sz w:val="19"/>
        </w:rPr>
        <w:t>–</w:t>
      </w:r>
      <w:r>
        <w:rPr>
          <w:spacing w:val="-3"/>
          <w:sz w:val="19"/>
        </w:rPr>
        <w:t> </w:t>
      </w:r>
      <w:r>
        <w:rPr>
          <w:spacing w:val="-4"/>
          <w:sz w:val="19"/>
        </w:rPr>
        <w:t>cost.</w:t>
      </w:r>
    </w:p>
    <w:p>
      <w:pPr>
        <w:pStyle w:val="BodyText"/>
        <w:spacing w:before="10"/>
      </w:pPr>
    </w:p>
    <w:p>
      <w:pPr>
        <w:pStyle w:val="ListParagraph"/>
        <w:numPr>
          <w:ilvl w:val="0"/>
          <w:numId w:val="3"/>
        </w:numPr>
        <w:tabs>
          <w:tab w:pos="1530" w:val="left" w:leader="none"/>
          <w:tab w:pos="1531" w:val="left" w:leader="none"/>
        </w:tabs>
        <w:spacing w:line="240" w:lineRule="auto" w:before="0" w:after="0"/>
        <w:ind w:left="1530" w:right="0" w:hanging="585"/>
        <w:jc w:val="left"/>
        <w:rPr>
          <w:sz w:val="19"/>
        </w:rPr>
      </w:pPr>
      <w:r>
        <w:rPr>
          <w:sz w:val="19"/>
        </w:rPr>
        <w:t>Equipment</w:t>
      </w:r>
      <w:r>
        <w:rPr>
          <w:spacing w:val="-6"/>
          <w:sz w:val="19"/>
        </w:rPr>
        <w:t> </w:t>
      </w:r>
      <w:r>
        <w:rPr>
          <w:sz w:val="19"/>
        </w:rPr>
        <w:t>Damage</w:t>
      </w:r>
      <w:r>
        <w:rPr>
          <w:spacing w:val="-5"/>
          <w:sz w:val="19"/>
        </w:rPr>
        <w:t> </w:t>
      </w:r>
      <w:r>
        <w:rPr>
          <w:sz w:val="19"/>
        </w:rPr>
        <w:t>and</w:t>
      </w:r>
      <w:r>
        <w:rPr>
          <w:spacing w:val="-5"/>
          <w:sz w:val="19"/>
        </w:rPr>
        <w:t> </w:t>
      </w:r>
      <w:r>
        <w:rPr>
          <w:sz w:val="19"/>
        </w:rPr>
        <w:t>Loss</w:t>
      </w:r>
      <w:r>
        <w:rPr>
          <w:spacing w:val="-4"/>
          <w:sz w:val="19"/>
        </w:rPr>
        <w:t> </w:t>
      </w:r>
      <w:r>
        <w:rPr>
          <w:sz w:val="19"/>
        </w:rPr>
        <w:t>–</w:t>
      </w:r>
      <w:r>
        <w:rPr>
          <w:spacing w:val="1"/>
          <w:sz w:val="19"/>
        </w:rPr>
        <w:t> </w:t>
      </w:r>
      <w:r>
        <w:rPr>
          <w:spacing w:val="-2"/>
          <w:sz w:val="19"/>
        </w:rPr>
        <w:t>cost.</w:t>
      </w:r>
    </w:p>
    <w:p>
      <w:pPr>
        <w:pStyle w:val="BodyText"/>
        <w:spacing w:before="7"/>
        <w:rPr>
          <w:sz w:val="21"/>
        </w:rPr>
      </w:pPr>
    </w:p>
    <w:p>
      <w:pPr>
        <w:pStyle w:val="ListParagraph"/>
        <w:numPr>
          <w:ilvl w:val="0"/>
          <w:numId w:val="3"/>
        </w:numPr>
        <w:tabs>
          <w:tab w:pos="1530" w:val="left" w:leader="none"/>
          <w:tab w:pos="1531" w:val="left" w:leader="none"/>
        </w:tabs>
        <w:spacing w:line="240" w:lineRule="auto" w:before="0" w:after="0"/>
        <w:ind w:left="1530" w:right="0" w:hanging="584"/>
        <w:jc w:val="left"/>
        <w:rPr>
          <w:sz w:val="19"/>
        </w:rPr>
      </w:pPr>
      <w:r>
        <w:rPr>
          <w:sz w:val="19"/>
        </w:rPr>
        <w:t>Interlibrary</w:t>
      </w:r>
      <w:r>
        <w:rPr>
          <w:spacing w:val="-9"/>
          <w:sz w:val="19"/>
        </w:rPr>
        <w:t> </w:t>
      </w:r>
      <w:r>
        <w:rPr>
          <w:sz w:val="19"/>
        </w:rPr>
        <w:t>Loans/Literature</w:t>
      </w:r>
      <w:r>
        <w:rPr>
          <w:spacing w:val="-9"/>
          <w:sz w:val="19"/>
        </w:rPr>
        <w:t> </w:t>
      </w:r>
      <w:r>
        <w:rPr>
          <w:sz w:val="19"/>
        </w:rPr>
        <w:t>Searches</w:t>
      </w:r>
      <w:r>
        <w:rPr>
          <w:spacing w:val="-8"/>
          <w:sz w:val="19"/>
        </w:rPr>
        <w:t> </w:t>
      </w:r>
      <w:r>
        <w:rPr>
          <w:sz w:val="19"/>
        </w:rPr>
        <w:t>–</w:t>
      </w:r>
      <w:r>
        <w:rPr>
          <w:spacing w:val="-5"/>
          <w:sz w:val="19"/>
        </w:rPr>
        <w:t> </w:t>
      </w:r>
      <w:r>
        <w:rPr>
          <w:spacing w:val="-2"/>
          <w:sz w:val="19"/>
        </w:rPr>
        <w:t>cost.</w:t>
      </w:r>
    </w:p>
    <w:p>
      <w:pPr>
        <w:pStyle w:val="BodyText"/>
        <w:spacing w:before="10"/>
      </w:pPr>
    </w:p>
    <w:p>
      <w:pPr>
        <w:pStyle w:val="ListParagraph"/>
        <w:numPr>
          <w:ilvl w:val="0"/>
          <w:numId w:val="3"/>
        </w:numPr>
        <w:tabs>
          <w:tab w:pos="1530" w:val="left" w:leader="none"/>
          <w:tab w:pos="1531" w:val="left" w:leader="none"/>
        </w:tabs>
        <w:spacing w:line="240" w:lineRule="auto" w:before="0" w:after="0"/>
        <w:ind w:left="1530" w:right="0" w:hanging="584"/>
        <w:jc w:val="left"/>
        <w:rPr>
          <w:sz w:val="19"/>
        </w:rPr>
      </w:pPr>
      <w:r>
        <w:rPr>
          <w:sz w:val="19"/>
        </w:rPr>
        <w:t>Facilities/Equipment</w:t>
      </w:r>
      <w:r>
        <w:rPr>
          <w:spacing w:val="-8"/>
          <w:sz w:val="19"/>
        </w:rPr>
        <w:t> </w:t>
      </w:r>
      <w:r>
        <w:rPr>
          <w:sz w:val="19"/>
        </w:rPr>
        <w:t>Use</w:t>
      </w:r>
      <w:r>
        <w:rPr>
          <w:spacing w:val="-8"/>
          <w:sz w:val="19"/>
        </w:rPr>
        <w:t> </w:t>
      </w:r>
      <w:r>
        <w:rPr>
          <w:sz w:val="19"/>
        </w:rPr>
        <w:t>Charge</w:t>
      </w:r>
      <w:r>
        <w:rPr>
          <w:spacing w:val="-8"/>
          <w:sz w:val="19"/>
        </w:rPr>
        <w:t> </w:t>
      </w:r>
      <w:r>
        <w:rPr>
          <w:sz w:val="19"/>
        </w:rPr>
        <w:t>–</w:t>
      </w:r>
      <w:r>
        <w:rPr>
          <w:spacing w:val="-3"/>
          <w:sz w:val="19"/>
        </w:rPr>
        <w:t> </w:t>
      </w:r>
      <w:r>
        <w:rPr>
          <w:spacing w:val="-2"/>
          <w:sz w:val="19"/>
        </w:rPr>
        <w:t>cost.</w:t>
      </w:r>
    </w:p>
    <w:p>
      <w:pPr>
        <w:pStyle w:val="BodyText"/>
        <w:rPr>
          <w:sz w:val="20"/>
        </w:rPr>
      </w:pPr>
    </w:p>
    <w:p>
      <w:pPr>
        <w:pStyle w:val="ListParagraph"/>
        <w:numPr>
          <w:ilvl w:val="0"/>
          <w:numId w:val="3"/>
        </w:numPr>
        <w:tabs>
          <w:tab w:pos="1529" w:val="left" w:leader="none"/>
          <w:tab w:pos="1531" w:val="left" w:leader="none"/>
        </w:tabs>
        <w:spacing w:line="240" w:lineRule="auto" w:before="0" w:after="0"/>
        <w:ind w:left="1530" w:right="0" w:hanging="585"/>
        <w:jc w:val="left"/>
        <w:rPr>
          <w:sz w:val="19"/>
        </w:rPr>
      </w:pPr>
      <w:r>
        <w:rPr>
          <w:sz w:val="19"/>
        </w:rPr>
        <w:t>Orientation</w:t>
      </w:r>
      <w:r>
        <w:rPr>
          <w:spacing w:val="-5"/>
          <w:sz w:val="19"/>
        </w:rPr>
        <w:t> </w:t>
      </w:r>
      <w:r>
        <w:rPr>
          <w:sz w:val="19"/>
        </w:rPr>
        <w:t>Fee</w:t>
      </w:r>
      <w:r>
        <w:rPr>
          <w:spacing w:val="-5"/>
          <w:sz w:val="19"/>
        </w:rPr>
        <w:t> </w:t>
      </w:r>
      <w:r>
        <w:rPr>
          <w:sz w:val="19"/>
        </w:rPr>
        <w:t>-</w:t>
      </w:r>
      <w:r>
        <w:rPr>
          <w:spacing w:val="-6"/>
          <w:sz w:val="19"/>
        </w:rPr>
        <w:t> </w:t>
      </w:r>
      <w:r>
        <w:rPr>
          <w:spacing w:val="-4"/>
          <w:sz w:val="19"/>
        </w:rPr>
        <w:t>$35.</w:t>
      </w:r>
    </w:p>
    <w:p>
      <w:pPr>
        <w:pStyle w:val="BodyText"/>
        <w:spacing w:before="10"/>
      </w:pPr>
    </w:p>
    <w:p>
      <w:pPr>
        <w:pStyle w:val="ListParagraph"/>
        <w:numPr>
          <w:ilvl w:val="0"/>
          <w:numId w:val="3"/>
        </w:numPr>
        <w:tabs>
          <w:tab w:pos="1529" w:val="left" w:leader="none"/>
          <w:tab w:pos="1530" w:val="left" w:leader="none"/>
        </w:tabs>
        <w:spacing w:line="240" w:lineRule="auto" w:before="0" w:after="0"/>
        <w:ind w:left="1529" w:right="0" w:hanging="584"/>
        <w:jc w:val="left"/>
        <w:rPr>
          <w:sz w:val="19"/>
        </w:rPr>
      </w:pPr>
      <w:r>
        <w:rPr>
          <w:sz w:val="19"/>
        </w:rPr>
        <w:t>Transcript</w:t>
      </w:r>
      <w:r>
        <w:rPr>
          <w:spacing w:val="-5"/>
          <w:sz w:val="19"/>
        </w:rPr>
        <w:t> </w:t>
      </w:r>
      <w:r>
        <w:rPr>
          <w:sz w:val="19"/>
        </w:rPr>
        <w:t>Fee</w:t>
      </w:r>
      <w:r>
        <w:rPr>
          <w:spacing w:val="-5"/>
          <w:sz w:val="19"/>
        </w:rPr>
        <w:t> </w:t>
      </w:r>
      <w:r>
        <w:rPr>
          <w:sz w:val="19"/>
        </w:rPr>
        <w:t>–</w:t>
      </w:r>
      <w:r>
        <w:rPr>
          <w:spacing w:val="-4"/>
          <w:sz w:val="19"/>
        </w:rPr>
        <w:t> </w:t>
      </w:r>
      <w:r>
        <w:rPr>
          <w:sz w:val="19"/>
        </w:rPr>
        <w:t>Per</w:t>
      </w:r>
      <w:r>
        <w:rPr>
          <w:spacing w:val="-5"/>
          <w:sz w:val="19"/>
        </w:rPr>
        <w:t> </w:t>
      </w:r>
      <w:r>
        <w:rPr>
          <w:sz w:val="19"/>
        </w:rPr>
        <w:t>item</w:t>
      </w:r>
      <w:r>
        <w:rPr>
          <w:spacing w:val="-6"/>
          <w:sz w:val="19"/>
        </w:rPr>
        <w:t> </w:t>
      </w:r>
      <w:r>
        <w:rPr>
          <w:spacing w:val="-2"/>
          <w:sz w:val="19"/>
        </w:rPr>
        <w:t>$5.00.</w:t>
      </w:r>
    </w:p>
    <w:p>
      <w:pPr>
        <w:pStyle w:val="BodyText"/>
        <w:spacing w:before="9"/>
      </w:pPr>
    </w:p>
    <w:p>
      <w:pPr>
        <w:pStyle w:val="ListParagraph"/>
        <w:numPr>
          <w:ilvl w:val="0"/>
          <w:numId w:val="3"/>
        </w:numPr>
        <w:tabs>
          <w:tab w:pos="1529" w:val="left" w:leader="none"/>
          <w:tab w:pos="1530" w:val="left" w:leader="none"/>
        </w:tabs>
        <w:spacing w:line="240" w:lineRule="auto" w:before="0" w:after="0"/>
        <w:ind w:left="1529" w:right="0" w:hanging="584"/>
        <w:jc w:val="left"/>
        <w:rPr>
          <w:sz w:val="19"/>
        </w:rPr>
      </w:pPr>
      <w:r>
        <w:rPr>
          <w:sz w:val="19"/>
        </w:rPr>
        <w:t>Diploma</w:t>
      </w:r>
      <w:r>
        <w:rPr>
          <w:spacing w:val="-6"/>
          <w:sz w:val="19"/>
        </w:rPr>
        <w:t> </w:t>
      </w:r>
      <w:r>
        <w:rPr>
          <w:sz w:val="19"/>
        </w:rPr>
        <w:t>Replacement</w:t>
      </w:r>
      <w:r>
        <w:rPr>
          <w:spacing w:val="-6"/>
          <w:sz w:val="19"/>
        </w:rPr>
        <w:t> </w:t>
      </w:r>
      <w:r>
        <w:rPr>
          <w:sz w:val="19"/>
        </w:rPr>
        <w:t>Fee</w:t>
      </w:r>
      <w:r>
        <w:rPr>
          <w:spacing w:val="-6"/>
          <w:sz w:val="19"/>
        </w:rPr>
        <w:t> </w:t>
      </w:r>
      <w:r>
        <w:rPr>
          <w:sz w:val="19"/>
        </w:rPr>
        <w:t>–</w:t>
      </w:r>
      <w:r>
        <w:rPr>
          <w:spacing w:val="-5"/>
          <w:sz w:val="19"/>
        </w:rPr>
        <w:t> </w:t>
      </w:r>
      <w:r>
        <w:rPr>
          <w:sz w:val="19"/>
        </w:rPr>
        <w:t>Per</w:t>
      </w:r>
      <w:r>
        <w:rPr>
          <w:spacing w:val="-6"/>
          <w:sz w:val="19"/>
        </w:rPr>
        <w:t> </w:t>
      </w:r>
      <w:r>
        <w:rPr>
          <w:sz w:val="19"/>
        </w:rPr>
        <w:t>item</w:t>
      </w:r>
      <w:r>
        <w:rPr>
          <w:spacing w:val="-3"/>
          <w:sz w:val="19"/>
        </w:rPr>
        <w:t> </w:t>
      </w:r>
      <w:r>
        <w:rPr>
          <w:spacing w:val="-2"/>
          <w:sz w:val="19"/>
        </w:rPr>
        <w:t>$10.00.</w:t>
      </w:r>
    </w:p>
    <w:p>
      <w:pPr>
        <w:pStyle w:val="BodyText"/>
        <w:spacing w:before="1"/>
        <w:rPr>
          <w:sz w:val="20"/>
        </w:rPr>
      </w:pPr>
    </w:p>
    <w:p>
      <w:pPr>
        <w:pStyle w:val="ListParagraph"/>
        <w:numPr>
          <w:ilvl w:val="0"/>
          <w:numId w:val="3"/>
        </w:numPr>
        <w:tabs>
          <w:tab w:pos="1529" w:val="left" w:leader="none"/>
          <w:tab w:pos="1530" w:val="left" w:leader="none"/>
        </w:tabs>
        <w:spacing w:line="491" w:lineRule="auto" w:before="0" w:after="0"/>
        <w:ind w:left="365" w:right="2793" w:firstLine="580"/>
        <w:jc w:val="left"/>
        <w:rPr>
          <w:sz w:val="19"/>
        </w:rPr>
      </w:pPr>
      <w:r>
        <w:rPr>
          <w:sz w:val="19"/>
        </w:rPr>
        <w:t>Off-Campus Educational Activities – The University will assess fees for off- campus</w:t>
      </w:r>
      <w:r>
        <w:rPr>
          <w:spacing w:val="-3"/>
          <w:sz w:val="19"/>
        </w:rPr>
        <w:t> </w:t>
      </w:r>
      <w:r>
        <w:rPr>
          <w:sz w:val="19"/>
        </w:rPr>
        <w:t>course</w:t>
      </w:r>
      <w:r>
        <w:rPr>
          <w:spacing w:val="-4"/>
          <w:sz w:val="19"/>
        </w:rPr>
        <w:t> </w:t>
      </w:r>
      <w:r>
        <w:rPr>
          <w:sz w:val="19"/>
        </w:rPr>
        <w:t>offerings</w:t>
      </w:r>
      <w:r>
        <w:rPr>
          <w:spacing w:val="-3"/>
          <w:sz w:val="19"/>
        </w:rPr>
        <w:t> </w:t>
      </w:r>
      <w:r>
        <w:rPr>
          <w:sz w:val="19"/>
        </w:rPr>
        <w:t>when</w:t>
      </w:r>
      <w:r>
        <w:rPr>
          <w:spacing w:val="-3"/>
          <w:sz w:val="19"/>
        </w:rPr>
        <w:t> </w:t>
      </w:r>
      <w:r>
        <w:rPr>
          <w:sz w:val="19"/>
        </w:rPr>
        <w:t>the</w:t>
      </w:r>
      <w:r>
        <w:rPr>
          <w:spacing w:val="-4"/>
          <w:sz w:val="19"/>
        </w:rPr>
        <w:t> </w:t>
      </w:r>
      <w:r>
        <w:rPr>
          <w:sz w:val="19"/>
        </w:rPr>
        <w:t>location</w:t>
      </w:r>
      <w:r>
        <w:rPr>
          <w:spacing w:val="-5"/>
          <w:sz w:val="19"/>
        </w:rPr>
        <w:t> </w:t>
      </w:r>
      <w:r>
        <w:rPr>
          <w:sz w:val="19"/>
        </w:rPr>
        <w:t>results</w:t>
      </w:r>
      <w:r>
        <w:rPr>
          <w:spacing w:val="-3"/>
          <w:sz w:val="19"/>
        </w:rPr>
        <w:t> </w:t>
      </w:r>
      <w:r>
        <w:rPr>
          <w:sz w:val="19"/>
        </w:rPr>
        <w:t>in</w:t>
      </w:r>
      <w:r>
        <w:rPr>
          <w:spacing w:val="-3"/>
          <w:sz w:val="19"/>
        </w:rPr>
        <w:t> </w:t>
      </w:r>
      <w:r>
        <w:rPr>
          <w:sz w:val="19"/>
        </w:rPr>
        <w:t>specific,</w:t>
      </w:r>
      <w:r>
        <w:rPr>
          <w:spacing w:val="-3"/>
          <w:sz w:val="19"/>
        </w:rPr>
        <w:t> </w:t>
      </w:r>
      <w:r>
        <w:rPr>
          <w:sz w:val="19"/>
        </w:rPr>
        <w:t>identifiable</w:t>
      </w:r>
      <w:r>
        <w:rPr>
          <w:spacing w:val="-4"/>
          <w:sz w:val="19"/>
        </w:rPr>
        <w:t> </w:t>
      </w:r>
      <w:r>
        <w:rPr>
          <w:sz w:val="19"/>
        </w:rPr>
        <w:t>increased</w:t>
      </w:r>
      <w:r>
        <w:rPr>
          <w:spacing w:val="-3"/>
          <w:sz w:val="19"/>
        </w:rPr>
        <w:t> </w:t>
      </w:r>
      <w:r>
        <w:rPr>
          <w:sz w:val="19"/>
        </w:rPr>
        <w:t>costs</w:t>
      </w:r>
      <w:r>
        <w:rPr>
          <w:spacing w:val="-3"/>
          <w:sz w:val="19"/>
        </w:rPr>
        <w:t> </w:t>
      </w:r>
      <w:r>
        <w:rPr>
          <w:sz w:val="19"/>
        </w:rPr>
        <w:t>to</w:t>
      </w:r>
      <w:r>
        <w:rPr>
          <w:spacing w:val="-3"/>
          <w:sz w:val="19"/>
        </w:rPr>
        <w:t> </w:t>
      </w:r>
      <w:r>
        <w:rPr>
          <w:sz w:val="19"/>
        </w:rPr>
        <w:t>the university. These fees will be in addition to the regular student credit hour fees charged to students</w:t>
      </w:r>
      <w:r>
        <w:rPr>
          <w:spacing w:val="-2"/>
          <w:sz w:val="19"/>
        </w:rPr>
        <w:t> </w:t>
      </w:r>
      <w:r>
        <w:rPr>
          <w:sz w:val="19"/>
        </w:rPr>
        <w:t>enrolling in</w:t>
      </w:r>
      <w:r>
        <w:rPr>
          <w:spacing w:val="-1"/>
          <w:sz w:val="19"/>
        </w:rPr>
        <w:t> </w:t>
      </w:r>
      <w:r>
        <w:rPr>
          <w:sz w:val="19"/>
        </w:rPr>
        <w:t>these courses on-campus.</w:t>
      </w:r>
      <w:r>
        <w:rPr>
          <w:spacing w:val="40"/>
          <w:sz w:val="19"/>
        </w:rPr>
        <w:t> </w:t>
      </w:r>
      <w:r>
        <w:rPr>
          <w:sz w:val="19"/>
        </w:rPr>
        <w:t>The additional fees charged are for</w:t>
      </w:r>
      <w:r>
        <w:rPr>
          <w:spacing w:val="-1"/>
          <w:sz w:val="19"/>
        </w:rPr>
        <w:t> </w:t>
      </w:r>
      <w:r>
        <w:rPr>
          <w:sz w:val="19"/>
        </w:rPr>
        <w:t>the purpose of recovering the increased costs resulting from off-campus</w:t>
      </w:r>
      <w:r>
        <w:rPr>
          <w:spacing w:val="40"/>
          <w:sz w:val="19"/>
        </w:rPr>
        <w:t> </w:t>
      </w:r>
      <w:r>
        <w:rPr>
          <w:sz w:val="19"/>
        </w:rPr>
        <w:t>offerings.</w:t>
      </w:r>
    </w:p>
    <w:p>
      <w:pPr>
        <w:pStyle w:val="ListParagraph"/>
        <w:numPr>
          <w:ilvl w:val="0"/>
          <w:numId w:val="3"/>
        </w:numPr>
        <w:tabs>
          <w:tab w:pos="1529" w:val="left" w:leader="none"/>
          <w:tab w:pos="1530" w:val="left" w:leader="none"/>
        </w:tabs>
        <w:spacing w:line="491" w:lineRule="auto" w:before="0" w:after="0"/>
        <w:ind w:left="365" w:right="2602" w:firstLine="580"/>
        <w:jc w:val="left"/>
        <w:rPr>
          <w:sz w:val="19"/>
        </w:rPr>
      </w:pPr>
      <w:r>
        <w:rPr>
          <w:sz w:val="19"/>
        </w:rPr>
        <w:t>Material and Supply Fees – The University will assess material and supply fees</w:t>
      </w:r>
      <w:r>
        <w:rPr>
          <w:spacing w:val="40"/>
          <w:sz w:val="19"/>
        </w:rPr>
        <w:t> </w:t>
      </w:r>
      <w:r>
        <w:rPr>
          <w:sz w:val="19"/>
        </w:rPr>
        <w:t>not to exceed the amount necessary to offset the cost of materials or supply items which are consumed in the course of the student’s instructional activities, excluding the cost of equipment, equipment repairs and maintenance. The University shall assess an Experiential Learning Fee of</w:t>
      </w:r>
    </w:p>
    <w:p>
      <w:pPr>
        <w:pStyle w:val="BodyText"/>
        <w:spacing w:line="489" w:lineRule="auto"/>
        <w:ind w:left="366" w:right="2869"/>
      </w:pPr>
      <w:r>
        <w:rPr/>
        <w:t>$150</w:t>
      </w:r>
      <w:r>
        <w:rPr>
          <w:spacing w:val="-2"/>
        </w:rPr>
        <w:t> </w:t>
      </w:r>
      <w:r>
        <w:rPr/>
        <w:t>per</w:t>
      </w:r>
      <w:r>
        <w:rPr>
          <w:spacing w:val="-4"/>
        </w:rPr>
        <w:t> </w:t>
      </w:r>
      <w:r>
        <w:rPr/>
        <w:t>academic</w:t>
      </w:r>
      <w:r>
        <w:rPr>
          <w:spacing w:val="-3"/>
        </w:rPr>
        <w:t> </w:t>
      </w:r>
      <w:r>
        <w:rPr/>
        <w:t>year</w:t>
      </w:r>
      <w:r>
        <w:rPr>
          <w:spacing w:val="-4"/>
        </w:rPr>
        <w:t> </w:t>
      </w:r>
      <w:r>
        <w:rPr/>
        <w:t>for</w:t>
      </w:r>
      <w:r>
        <w:rPr>
          <w:spacing w:val="-4"/>
        </w:rPr>
        <w:t> </w:t>
      </w:r>
      <w:r>
        <w:rPr/>
        <w:t>participation</w:t>
      </w:r>
      <w:r>
        <w:rPr>
          <w:spacing w:val="-2"/>
        </w:rPr>
        <w:t> </w:t>
      </w:r>
      <w:r>
        <w:rPr/>
        <w:t>in</w:t>
      </w:r>
      <w:r>
        <w:rPr>
          <w:spacing w:val="-2"/>
        </w:rPr>
        <w:t> </w:t>
      </w:r>
      <w:r>
        <w:rPr/>
        <w:t>the</w:t>
      </w:r>
      <w:r>
        <w:rPr>
          <w:spacing w:val="-3"/>
        </w:rPr>
        <w:t> </w:t>
      </w:r>
      <w:r>
        <w:rPr/>
        <w:t>UNF</w:t>
      </w:r>
      <w:r>
        <w:rPr>
          <w:spacing w:val="-3"/>
        </w:rPr>
        <w:t> </w:t>
      </w:r>
      <w:r>
        <w:rPr/>
        <w:t>Honors</w:t>
      </w:r>
      <w:r>
        <w:rPr>
          <w:spacing w:val="-2"/>
        </w:rPr>
        <w:t> </w:t>
      </w:r>
      <w:r>
        <w:rPr/>
        <w:t>Program</w:t>
      </w:r>
      <w:r>
        <w:rPr>
          <w:spacing w:val="-4"/>
        </w:rPr>
        <w:t> </w:t>
      </w:r>
      <w:r>
        <w:rPr/>
        <w:t>to</w:t>
      </w:r>
      <w:r>
        <w:rPr>
          <w:spacing w:val="-2"/>
        </w:rPr>
        <w:t> </w:t>
      </w:r>
      <w:r>
        <w:rPr/>
        <w:t>cover</w:t>
      </w:r>
      <w:r>
        <w:rPr>
          <w:spacing w:val="-4"/>
        </w:rPr>
        <w:t> </w:t>
      </w:r>
      <w:r>
        <w:rPr/>
        <w:t>the</w:t>
      </w:r>
      <w:r>
        <w:rPr>
          <w:spacing w:val="-3"/>
        </w:rPr>
        <w:t> </w:t>
      </w:r>
      <w:r>
        <w:rPr/>
        <w:t>increased costs of special programs and activities included in the Honors Program curriculum.</w:t>
      </w:r>
    </w:p>
    <w:p>
      <w:pPr>
        <w:pStyle w:val="ListParagraph"/>
        <w:numPr>
          <w:ilvl w:val="0"/>
          <w:numId w:val="3"/>
        </w:numPr>
        <w:tabs>
          <w:tab w:pos="1529" w:val="left" w:leader="none"/>
          <w:tab w:pos="1531" w:val="left" w:leader="none"/>
        </w:tabs>
        <w:spacing w:line="491" w:lineRule="auto" w:before="0" w:after="0"/>
        <w:ind w:left="366" w:right="2676" w:firstLine="580"/>
        <w:jc w:val="left"/>
        <w:rPr>
          <w:sz w:val="19"/>
        </w:rPr>
      </w:pPr>
      <w:r>
        <w:rPr>
          <w:sz w:val="19"/>
        </w:rPr>
        <w:t>Miscellaneous Health Fees – The University will assess fees for miscellaneous health-related</w:t>
      </w:r>
      <w:r>
        <w:rPr>
          <w:spacing w:val="-2"/>
          <w:sz w:val="19"/>
        </w:rPr>
        <w:t> </w:t>
      </w:r>
      <w:r>
        <w:rPr>
          <w:sz w:val="19"/>
        </w:rPr>
        <w:t>services</w:t>
      </w:r>
      <w:r>
        <w:rPr>
          <w:spacing w:val="-2"/>
          <w:sz w:val="19"/>
        </w:rPr>
        <w:t> </w:t>
      </w:r>
      <w:r>
        <w:rPr>
          <w:sz w:val="19"/>
        </w:rPr>
        <w:t>provided</w:t>
      </w:r>
      <w:r>
        <w:rPr>
          <w:spacing w:val="-4"/>
          <w:sz w:val="19"/>
        </w:rPr>
        <w:t> </w:t>
      </w:r>
      <w:r>
        <w:rPr>
          <w:sz w:val="19"/>
        </w:rPr>
        <w:t>at</w:t>
      </w:r>
      <w:r>
        <w:rPr>
          <w:spacing w:val="-3"/>
          <w:sz w:val="19"/>
        </w:rPr>
        <w:t> </w:t>
      </w:r>
      <w:r>
        <w:rPr>
          <w:sz w:val="19"/>
        </w:rPr>
        <w:t>cost</w:t>
      </w:r>
      <w:r>
        <w:rPr>
          <w:spacing w:val="-3"/>
          <w:sz w:val="19"/>
        </w:rPr>
        <w:t> </w:t>
      </w:r>
      <w:r>
        <w:rPr>
          <w:sz w:val="19"/>
        </w:rPr>
        <w:t>by</w:t>
      </w:r>
      <w:r>
        <w:rPr>
          <w:spacing w:val="-2"/>
          <w:sz w:val="19"/>
        </w:rPr>
        <w:t> </w:t>
      </w:r>
      <w:r>
        <w:rPr>
          <w:sz w:val="19"/>
        </w:rPr>
        <w:t>the</w:t>
      </w:r>
      <w:r>
        <w:rPr>
          <w:spacing w:val="-3"/>
          <w:sz w:val="19"/>
        </w:rPr>
        <w:t> </w:t>
      </w:r>
      <w:r>
        <w:rPr>
          <w:sz w:val="19"/>
        </w:rPr>
        <w:t>UNF</w:t>
      </w:r>
      <w:r>
        <w:rPr>
          <w:spacing w:val="-3"/>
          <w:sz w:val="19"/>
        </w:rPr>
        <w:t> </w:t>
      </w:r>
      <w:r>
        <w:rPr>
          <w:sz w:val="19"/>
        </w:rPr>
        <w:t>Student</w:t>
      </w:r>
      <w:r>
        <w:rPr>
          <w:spacing w:val="-5"/>
          <w:sz w:val="19"/>
        </w:rPr>
        <w:t> </w:t>
      </w:r>
      <w:r>
        <w:rPr>
          <w:sz w:val="19"/>
        </w:rPr>
        <w:t>Health</w:t>
      </w:r>
      <w:r>
        <w:rPr>
          <w:spacing w:val="-2"/>
          <w:sz w:val="19"/>
        </w:rPr>
        <w:t> </w:t>
      </w:r>
      <w:r>
        <w:rPr>
          <w:sz w:val="19"/>
        </w:rPr>
        <w:t>Center</w:t>
      </w:r>
      <w:r>
        <w:rPr>
          <w:spacing w:val="-4"/>
          <w:sz w:val="19"/>
        </w:rPr>
        <w:t> </w:t>
      </w:r>
      <w:r>
        <w:rPr>
          <w:sz w:val="19"/>
        </w:rPr>
        <w:t>which</w:t>
      </w:r>
      <w:r>
        <w:rPr>
          <w:spacing w:val="-2"/>
          <w:sz w:val="19"/>
        </w:rPr>
        <w:t> </w:t>
      </w:r>
      <w:r>
        <w:rPr>
          <w:sz w:val="19"/>
        </w:rPr>
        <w:t>are</w:t>
      </w:r>
      <w:r>
        <w:rPr>
          <w:spacing w:val="-3"/>
          <w:sz w:val="19"/>
        </w:rPr>
        <w:t> </w:t>
      </w:r>
      <w:r>
        <w:rPr>
          <w:sz w:val="19"/>
        </w:rPr>
        <w:t>not</w:t>
      </w:r>
      <w:r>
        <w:rPr>
          <w:spacing w:val="-3"/>
          <w:sz w:val="19"/>
        </w:rPr>
        <w:t> </w:t>
      </w:r>
      <w:r>
        <w:rPr>
          <w:sz w:val="19"/>
        </w:rPr>
        <w:t>covered</w:t>
      </w:r>
    </w:p>
    <w:p>
      <w:pPr>
        <w:spacing w:after="0" w:line="491" w:lineRule="auto"/>
        <w:jc w:val="left"/>
        <w:rPr>
          <w:sz w:val="19"/>
        </w:rPr>
        <w:sectPr>
          <w:pgSz w:w="12240" w:h="15840"/>
          <w:pgMar w:top="1640" w:bottom="280" w:left="800" w:right="1020"/>
        </w:sectPr>
      </w:pPr>
    </w:p>
    <w:p>
      <w:pPr>
        <w:pStyle w:val="BodyText"/>
        <w:spacing w:before="80"/>
        <w:ind w:left="366"/>
      </w:pPr>
      <w:r>
        <w:rPr/>
        <w:t>by</w:t>
      </w:r>
      <w:r>
        <w:rPr>
          <w:spacing w:val="-4"/>
        </w:rPr>
        <w:t> </w:t>
      </w:r>
      <w:r>
        <w:rPr/>
        <w:t>the</w:t>
      </w:r>
      <w:r>
        <w:rPr>
          <w:spacing w:val="-8"/>
        </w:rPr>
        <w:t> </w:t>
      </w:r>
      <w:r>
        <w:rPr/>
        <w:t>health</w:t>
      </w:r>
      <w:r>
        <w:rPr>
          <w:spacing w:val="-3"/>
        </w:rPr>
        <w:t> </w:t>
      </w:r>
      <w:r>
        <w:rPr/>
        <w:t>fee</w:t>
      </w:r>
      <w:r>
        <w:rPr>
          <w:spacing w:val="-5"/>
        </w:rPr>
        <w:t> </w:t>
      </w:r>
      <w:r>
        <w:rPr/>
        <w:t>set</w:t>
      </w:r>
      <w:r>
        <w:rPr>
          <w:spacing w:val="-7"/>
        </w:rPr>
        <w:t> </w:t>
      </w:r>
      <w:r>
        <w:rPr/>
        <w:t>under</w:t>
      </w:r>
      <w:r>
        <w:rPr>
          <w:spacing w:val="-5"/>
        </w:rPr>
        <w:t> </w:t>
      </w:r>
      <w:r>
        <w:rPr/>
        <w:t>Regulation</w:t>
      </w:r>
      <w:r>
        <w:rPr>
          <w:spacing w:val="-1"/>
        </w:rPr>
        <w:t> </w:t>
      </w:r>
      <w:r>
        <w:rPr/>
        <w:t>6C9-</w:t>
      </w:r>
      <w:r>
        <w:rPr>
          <w:spacing w:val="-2"/>
        </w:rPr>
        <w:t>8.1001.</w:t>
      </w:r>
    </w:p>
    <w:p>
      <w:pPr>
        <w:pStyle w:val="BodyText"/>
        <w:spacing w:before="9"/>
      </w:pPr>
    </w:p>
    <w:p>
      <w:pPr>
        <w:pStyle w:val="ListParagraph"/>
        <w:numPr>
          <w:ilvl w:val="0"/>
          <w:numId w:val="3"/>
        </w:numPr>
        <w:tabs>
          <w:tab w:pos="1530" w:val="left" w:leader="none"/>
          <w:tab w:pos="1531" w:val="left" w:leader="none"/>
        </w:tabs>
        <w:spacing w:line="489" w:lineRule="auto" w:before="0" w:after="0"/>
        <w:ind w:left="366" w:right="2659" w:firstLine="580"/>
        <w:jc w:val="left"/>
        <w:rPr>
          <w:sz w:val="19"/>
        </w:rPr>
      </w:pPr>
      <w:r>
        <w:rPr>
          <w:sz w:val="19"/>
        </w:rPr>
        <w:t>Credit</w:t>
      </w:r>
      <w:r>
        <w:rPr>
          <w:spacing w:val="-3"/>
          <w:sz w:val="19"/>
        </w:rPr>
        <w:t> </w:t>
      </w:r>
      <w:r>
        <w:rPr>
          <w:sz w:val="19"/>
        </w:rPr>
        <w:t>Card</w:t>
      </w:r>
      <w:r>
        <w:rPr>
          <w:spacing w:val="-2"/>
          <w:sz w:val="19"/>
        </w:rPr>
        <w:t> </w:t>
      </w:r>
      <w:r>
        <w:rPr>
          <w:sz w:val="19"/>
        </w:rPr>
        <w:t>Convenience</w:t>
      </w:r>
      <w:r>
        <w:rPr>
          <w:spacing w:val="-3"/>
          <w:sz w:val="19"/>
        </w:rPr>
        <w:t> </w:t>
      </w:r>
      <w:r>
        <w:rPr>
          <w:sz w:val="19"/>
        </w:rPr>
        <w:t>Fee</w:t>
      </w:r>
      <w:r>
        <w:rPr>
          <w:spacing w:val="-3"/>
          <w:sz w:val="19"/>
        </w:rPr>
        <w:t> </w:t>
      </w:r>
      <w:r>
        <w:rPr>
          <w:sz w:val="19"/>
        </w:rPr>
        <w:t>–</w:t>
      </w:r>
      <w:r>
        <w:rPr>
          <w:spacing w:val="-4"/>
          <w:sz w:val="19"/>
        </w:rPr>
        <w:t> </w:t>
      </w:r>
      <w:r>
        <w:rPr>
          <w:sz w:val="19"/>
        </w:rPr>
        <w:t>The</w:t>
      </w:r>
      <w:r>
        <w:rPr>
          <w:spacing w:val="-3"/>
          <w:sz w:val="19"/>
        </w:rPr>
        <w:t> </w:t>
      </w:r>
      <w:r>
        <w:rPr>
          <w:sz w:val="19"/>
        </w:rPr>
        <w:t>University</w:t>
      </w:r>
      <w:r>
        <w:rPr>
          <w:spacing w:val="-2"/>
          <w:sz w:val="19"/>
        </w:rPr>
        <w:t> </w:t>
      </w:r>
      <w:r>
        <w:rPr>
          <w:sz w:val="19"/>
        </w:rPr>
        <w:t>will</w:t>
      </w:r>
      <w:r>
        <w:rPr>
          <w:spacing w:val="-3"/>
          <w:sz w:val="19"/>
        </w:rPr>
        <w:t> </w:t>
      </w:r>
      <w:r>
        <w:rPr>
          <w:sz w:val="19"/>
        </w:rPr>
        <w:t>charge</w:t>
      </w:r>
      <w:r>
        <w:rPr>
          <w:spacing w:val="-3"/>
          <w:sz w:val="19"/>
        </w:rPr>
        <w:t> </w:t>
      </w:r>
      <w:r>
        <w:rPr>
          <w:sz w:val="19"/>
        </w:rPr>
        <w:t>a</w:t>
      </w:r>
      <w:r>
        <w:rPr>
          <w:spacing w:val="-6"/>
          <w:sz w:val="19"/>
        </w:rPr>
        <w:t> </w:t>
      </w:r>
      <w:r>
        <w:rPr>
          <w:sz w:val="19"/>
        </w:rPr>
        <w:t>$15</w:t>
      </w:r>
      <w:r>
        <w:rPr>
          <w:spacing w:val="-2"/>
          <w:sz w:val="19"/>
        </w:rPr>
        <w:t> </w:t>
      </w:r>
      <w:r>
        <w:rPr>
          <w:sz w:val="19"/>
        </w:rPr>
        <w:t>convenience</w:t>
      </w:r>
      <w:r>
        <w:rPr>
          <w:spacing w:val="-3"/>
          <w:sz w:val="19"/>
        </w:rPr>
        <w:t> </w:t>
      </w:r>
      <w:r>
        <w:rPr>
          <w:sz w:val="19"/>
        </w:rPr>
        <w:t>fee for the use of credit cards for web-originated financial</w:t>
      </w:r>
      <w:r>
        <w:rPr>
          <w:spacing w:val="37"/>
          <w:sz w:val="19"/>
        </w:rPr>
        <w:t> </w:t>
      </w:r>
      <w:r>
        <w:rPr>
          <w:sz w:val="19"/>
        </w:rPr>
        <w:t>transactions.</w:t>
      </w:r>
    </w:p>
    <w:p>
      <w:pPr>
        <w:pStyle w:val="ListParagraph"/>
        <w:numPr>
          <w:ilvl w:val="0"/>
          <w:numId w:val="3"/>
        </w:numPr>
        <w:tabs>
          <w:tab w:pos="1530" w:val="left" w:leader="none"/>
          <w:tab w:pos="1531" w:val="left" w:leader="none"/>
        </w:tabs>
        <w:spacing w:line="489" w:lineRule="auto" w:before="6" w:after="0"/>
        <w:ind w:left="366" w:right="2729" w:firstLine="580"/>
        <w:jc w:val="left"/>
        <w:rPr>
          <w:sz w:val="19"/>
        </w:rPr>
      </w:pPr>
      <w:r>
        <w:rPr>
          <w:sz w:val="19"/>
        </w:rPr>
        <w:t>Housing</w:t>
      </w:r>
      <w:r>
        <w:rPr>
          <w:spacing w:val="-3"/>
          <w:sz w:val="19"/>
        </w:rPr>
        <w:t> </w:t>
      </w:r>
      <w:r>
        <w:rPr>
          <w:sz w:val="19"/>
        </w:rPr>
        <w:t>Rental</w:t>
      </w:r>
      <w:r>
        <w:rPr>
          <w:spacing w:val="-6"/>
          <w:sz w:val="19"/>
        </w:rPr>
        <w:t> </w:t>
      </w:r>
      <w:r>
        <w:rPr>
          <w:sz w:val="19"/>
        </w:rPr>
        <w:t>Rates</w:t>
      </w:r>
      <w:r>
        <w:rPr>
          <w:spacing w:val="-3"/>
          <w:sz w:val="19"/>
        </w:rPr>
        <w:t> </w:t>
      </w:r>
      <w:r>
        <w:rPr>
          <w:sz w:val="19"/>
        </w:rPr>
        <w:t>and</w:t>
      </w:r>
      <w:r>
        <w:rPr>
          <w:spacing w:val="-5"/>
          <w:sz w:val="19"/>
        </w:rPr>
        <w:t> </w:t>
      </w:r>
      <w:r>
        <w:rPr>
          <w:sz w:val="19"/>
        </w:rPr>
        <w:t>Supplemental</w:t>
      </w:r>
      <w:r>
        <w:rPr>
          <w:spacing w:val="-4"/>
          <w:sz w:val="19"/>
        </w:rPr>
        <w:t> </w:t>
      </w:r>
      <w:r>
        <w:rPr>
          <w:sz w:val="19"/>
        </w:rPr>
        <w:t>Charges</w:t>
      </w:r>
      <w:r>
        <w:rPr>
          <w:spacing w:val="-3"/>
          <w:sz w:val="19"/>
        </w:rPr>
        <w:t> </w:t>
      </w:r>
      <w:r>
        <w:rPr>
          <w:sz w:val="19"/>
        </w:rPr>
        <w:t>–</w:t>
      </w:r>
      <w:r>
        <w:rPr>
          <w:spacing w:val="-3"/>
          <w:sz w:val="19"/>
        </w:rPr>
        <w:t> </w:t>
      </w:r>
      <w:r>
        <w:rPr>
          <w:sz w:val="19"/>
        </w:rPr>
        <w:t>Basic</w:t>
      </w:r>
      <w:r>
        <w:rPr>
          <w:spacing w:val="-4"/>
          <w:sz w:val="19"/>
        </w:rPr>
        <w:t> </w:t>
      </w:r>
      <w:r>
        <w:rPr>
          <w:sz w:val="19"/>
        </w:rPr>
        <w:t>rates</w:t>
      </w:r>
      <w:r>
        <w:rPr>
          <w:spacing w:val="-3"/>
          <w:sz w:val="19"/>
        </w:rPr>
        <w:t> </w:t>
      </w:r>
      <w:r>
        <w:rPr>
          <w:sz w:val="19"/>
        </w:rPr>
        <w:t>for</w:t>
      </w:r>
      <w:r>
        <w:rPr>
          <w:spacing w:val="-5"/>
          <w:sz w:val="19"/>
        </w:rPr>
        <w:t> </w:t>
      </w:r>
      <w:r>
        <w:rPr>
          <w:sz w:val="19"/>
        </w:rPr>
        <w:t>housing</w:t>
      </w:r>
      <w:r>
        <w:rPr>
          <w:spacing w:val="-3"/>
          <w:sz w:val="19"/>
        </w:rPr>
        <w:t> </w:t>
      </w:r>
      <w:r>
        <w:rPr>
          <w:sz w:val="19"/>
        </w:rPr>
        <w:t>rental and supplemental charges are set by the University of North Florida Board of Trustees as </w:t>
      </w:r>
      <w:r>
        <w:rPr>
          <w:spacing w:val="-2"/>
          <w:sz w:val="19"/>
        </w:rPr>
        <w:t>follows:</w:t>
      </w:r>
    </w:p>
    <w:p>
      <w:pPr>
        <w:pStyle w:val="BodyText"/>
        <w:spacing w:line="216" w:lineRule="exact"/>
        <w:ind w:left="366"/>
      </w:pPr>
      <w:r>
        <w:rPr/>
        <w:t>Fall</w:t>
      </w:r>
      <w:r>
        <w:rPr>
          <w:spacing w:val="-8"/>
        </w:rPr>
        <w:t> </w:t>
      </w:r>
      <w:r>
        <w:rPr>
          <w:strike/>
          <w:color w:val="0101FF"/>
        </w:rPr>
        <w:t>2004</w:t>
      </w:r>
      <w:r>
        <w:rPr>
          <w:strike w:val="0"/>
          <w:color w:val="0101FF"/>
        </w:rPr>
        <w:t>2005</w:t>
      </w:r>
      <w:r>
        <w:rPr>
          <w:strike w:val="0"/>
          <w:color w:val="0101FF"/>
          <w:spacing w:val="-8"/>
        </w:rPr>
        <w:t> </w:t>
      </w:r>
      <w:r>
        <w:rPr>
          <w:strike w:val="0"/>
        </w:rPr>
        <w:t>through</w:t>
      </w:r>
      <w:r>
        <w:rPr>
          <w:strike w:val="0"/>
          <w:spacing w:val="-6"/>
        </w:rPr>
        <w:t> </w:t>
      </w:r>
      <w:r>
        <w:rPr>
          <w:strike w:val="0"/>
        </w:rPr>
        <w:t>SPRING</w:t>
      </w:r>
      <w:r>
        <w:rPr>
          <w:strike w:val="0"/>
          <w:spacing w:val="-10"/>
        </w:rPr>
        <w:t> </w:t>
      </w:r>
      <w:r>
        <w:rPr>
          <w:strike/>
          <w:color w:val="0101FF"/>
          <w:spacing w:val="-2"/>
        </w:rPr>
        <w:t>2005</w:t>
      </w:r>
      <w:r>
        <w:rPr>
          <w:strike w:val="0"/>
          <w:color w:val="0101FF"/>
          <w:spacing w:val="-2"/>
        </w:rPr>
        <w:t>2006</w:t>
      </w:r>
    </w:p>
    <w:p>
      <w:pPr>
        <w:pStyle w:val="BodyText"/>
        <w:spacing w:before="1"/>
        <w:rPr>
          <w:sz w:val="12"/>
        </w:rPr>
      </w:pPr>
    </w:p>
    <w:p>
      <w:pPr>
        <w:pStyle w:val="BodyText"/>
        <w:spacing w:before="92"/>
        <w:ind w:left="1299" w:right="3410"/>
        <w:jc w:val="center"/>
      </w:pPr>
      <w:r>
        <w:rPr/>
        <w:t>HOUSING</w:t>
      </w:r>
      <w:r>
        <w:rPr>
          <w:spacing w:val="-12"/>
        </w:rPr>
        <w:t> </w:t>
      </w:r>
      <w:r>
        <w:rPr/>
        <w:t>RENTAL</w:t>
      </w:r>
      <w:r>
        <w:rPr>
          <w:spacing w:val="-12"/>
        </w:rPr>
        <w:t> </w:t>
      </w:r>
      <w:r>
        <w:rPr>
          <w:spacing w:val="-4"/>
        </w:rPr>
        <w:t>RATES</w:t>
      </w:r>
    </w:p>
    <w:p>
      <w:pPr>
        <w:pStyle w:val="BodyText"/>
        <w:spacing w:before="9"/>
      </w:pPr>
    </w:p>
    <w:p>
      <w:pPr>
        <w:pStyle w:val="BodyText"/>
        <w:spacing w:line="496" w:lineRule="auto"/>
        <w:ind w:left="3005" w:right="5110"/>
        <w:jc w:val="center"/>
      </w:pPr>
      <w:r>
        <w:rPr/>
        <w:t>(Per</w:t>
      </w:r>
      <w:r>
        <w:rPr>
          <w:spacing w:val="-12"/>
        </w:rPr>
        <w:t> </w:t>
      </w:r>
      <w:r>
        <w:rPr/>
        <w:t>Person,</w:t>
      </w:r>
      <w:r>
        <w:rPr>
          <w:spacing w:val="-12"/>
        </w:rPr>
        <w:t> </w:t>
      </w:r>
      <w:r>
        <w:rPr/>
        <w:t>Per</w:t>
      </w:r>
      <w:r>
        <w:rPr>
          <w:spacing w:val="-12"/>
        </w:rPr>
        <w:t> </w:t>
      </w:r>
      <w:r>
        <w:rPr/>
        <w:t>Semester) OSPREY HALL</w:t>
      </w: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4"/>
        <w:gridCol w:w="4133"/>
      </w:tblGrid>
      <w:tr>
        <w:trPr>
          <w:trHeight w:val="330" w:hRule="atLeast"/>
        </w:trPr>
        <w:tc>
          <w:tcPr>
            <w:tcW w:w="3514" w:type="dxa"/>
          </w:tcPr>
          <w:p>
            <w:pPr>
              <w:pStyle w:val="TableParagraph"/>
              <w:spacing w:line="207" w:lineRule="exact"/>
              <w:ind w:left="907"/>
              <w:rPr>
                <w:b/>
                <w:sz w:val="19"/>
              </w:rPr>
            </w:pPr>
            <w:r>
              <w:rPr>
                <w:b/>
                <w:sz w:val="19"/>
              </w:rPr>
              <w:t>Number</w:t>
            </w:r>
            <w:r>
              <w:rPr>
                <w:b/>
                <w:spacing w:val="-5"/>
                <w:sz w:val="19"/>
              </w:rPr>
              <w:t> </w:t>
            </w:r>
            <w:r>
              <w:rPr>
                <w:b/>
                <w:sz w:val="19"/>
              </w:rPr>
              <w:t>of</w:t>
            </w:r>
            <w:r>
              <w:rPr>
                <w:b/>
                <w:spacing w:val="-6"/>
                <w:sz w:val="19"/>
              </w:rPr>
              <w:t> </w:t>
            </w:r>
            <w:r>
              <w:rPr>
                <w:b/>
                <w:spacing w:val="-2"/>
                <w:sz w:val="19"/>
              </w:rPr>
              <w:t>Occupancy</w:t>
            </w:r>
          </w:p>
        </w:tc>
        <w:tc>
          <w:tcPr>
            <w:tcW w:w="4133" w:type="dxa"/>
          </w:tcPr>
          <w:p>
            <w:pPr>
              <w:pStyle w:val="TableParagraph"/>
              <w:spacing w:line="207" w:lineRule="exact"/>
              <w:ind w:left="1816" w:right="1855"/>
              <w:jc w:val="center"/>
              <w:rPr>
                <w:b/>
                <w:sz w:val="19"/>
              </w:rPr>
            </w:pPr>
            <w:r>
              <w:rPr>
                <w:b/>
                <w:spacing w:val="-2"/>
                <w:sz w:val="19"/>
              </w:rPr>
              <w:t>Price</w:t>
            </w:r>
          </w:p>
        </w:tc>
      </w:tr>
      <w:tr>
        <w:trPr>
          <w:trHeight w:val="429" w:hRule="atLeast"/>
        </w:trPr>
        <w:tc>
          <w:tcPr>
            <w:tcW w:w="3514" w:type="dxa"/>
          </w:tcPr>
          <w:p>
            <w:pPr>
              <w:pStyle w:val="TableParagraph"/>
              <w:spacing w:line="209" w:lineRule="exact"/>
              <w:ind w:left="247"/>
              <w:rPr>
                <w:sz w:val="19"/>
              </w:rPr>
            </w:pPr>
            <w:r>
              <w:rPr>
                <w:sz w:val="19"/>
              </w:rPr>
              <w:t>Double</w:t>
            </w:r>
            <w:r>
              <w:rPr>
                <w:spacing w:val="-4"/>
                <w:sz w:val="19"/>
              </w:rPr>
              <w:t> </w:t>
            </w:r>
            <w:r>
              <w:rPr>
                <w:spacing w:val="-2"/>
                <w:sz w:val="19"/>
              </w:rPr>
              <w:t>Occupancy</w:t>
            </w:r>
          </w:p>
        </w:tc>
        <w:tc>
          <w:tcPr>
            <w:tcW w:w="4133" w:type="dxa"/>
          </w:tcPr>
          <w:p>
            <w:pPr>
              <w:pStyle w:val="TableParagraph"/>
              <w:spacing w:line="207" w:lineRule="exact"/>
              <w:ind w:right="142"/>
              <w:jc w:val="right"/>
              <w:rPr>
                <w:sz w:val="19"/>
              </w:rPr>
            </w:pPr>
            <w:r>
              <w:rPr>
                <w:spacing w:val="-2"/>
                <w:sz w:val="19"/>
              </w:rPr>
              <w:t>$</w:t>
            </w:r>
            <w:r>
              <w:rPr>
                <w:strike/>
                <w:color w:val="0101FF"/>
                <w:spacing w:val="-2"/>
                <w:sz w:val="19"/>
              </w:rPr>
              <w:t>1,450.00</w:t>
            </w:r>
          </w:p>
          <w:p>
            <w:pPr>
              <w:pStyle w:val="TableParagraph"/>
              <w:spacing w:line="202" w:lineRule="exact"/>
              <w:ind w:right="143"/>
              <w:jc w:val="right"/>
              <w:rPr>
                <w:sz w:val="19"/>
              </w:rPr>
            </w:pPr>
            <w:r>
              <w:rPr>
                <w:color w:val="0101FF"/>
                <w:spacing w:val="-2"/>
                <w:sz w:val="19"/>
              </w:rPr>
              <w:t>1,515.00</w:t>
            </w:r>
          </w:p>
        </w:tc>
      </w:tr>
      <w:tr>
        <w:trPr>
          <w:trHeight w:val="659" w:hRule="atLeast"/>
        </w:trPr>
        <w:tc>
          <w:tcPr>
            <w:tcW w:w="3514" w:type="dxa"/>
          </w:tcPr>
          <w:p>
            <w:pPr>
              <w:pStyle w:val="TableParagraph"/>
              <w:spacing w:before="106"/>
              <w:ind w:left="247"/>
              <w:rPr>
                <w:sz w:val="19"/>
              </w:rPr>
            </w:pPr>
            <w:r>
              <w:rPr>
                <w:sz w:val="19"/>
              </w:rPr>
              <w:t>Triple</w:t>
            </w:r>
            <w:r>
              <w:rPr>
                <w:spacing w:val="-6"/>
                <w:sz w:val="19"/>
              </w:rPr>
              <w:t> </w:t>
            </w:r>
            <w:r>
              <w:rPr>
                <w:spacing w:val="-2"/>
                <w:sz w:val="19"/>
              </w:rPr>
              <w:t>Occupancy</w:t>
            </w:r>
          </w:p>
        </w:tc>
        <w:tc>
          <w:tcPr>
            <w:tcW w:w="4133" w:type="dxa"/>
          </w:tcPr>
          <w:p>
            <w:pPr>
              <w:pStyle w:val="TableParagraph"/>
              <w:spacing w:line="328" w:lineRule="exact"/>
              <w:ind w:left="3311" w:right="142" w:hanging="96"/>
              <w:jc w:val="right"/>
              <w:rPr>
                <w:sz w:val="19"/>
              </w:rPr>
            </w:pPr>
            <w:r>
              <w:rPr>
                <w:spacing w:val="-2"/>
                <w:sz w:val="19"/>
              </w:rPr>
              <w:t>$</w:t>
            </w:r>
            <w:r>
              <w:rPr>
                <w:strike/>
                <w:color w:val="0101FF"/>
                <w:spacing w:val="-2"/>
                <w:sz w:val="19"/>
              </w:rPr>
              <w:t>1,155.00</w:t>
            </w:r>
            <w:r>
              <w:rPr>
                <w:strike w:val="0"/>
                <w:color w:val="0101FF"/>
                <w:spacing w:val="-2"/>
                <w:sz w:val="19"/>
              </w:rPr>
              <w:t> 1,205.00</w:t>
            </w:r>
          </w:p>
        </w:tc>
      </w:tr>
      <w:tr>
        <w:trPr>
          <w:trHeight w:val="618" w:hRule="atLeast"/>
        </w:trPr>
        <w:tc>
          <w:tcPr>
            <w:tcW w:w="3514" w:type="dxa"/>
          </w:tcPr>
          <w:p>
            <w:pPr>
              <w:pStyle w:val="TableParagraph"/>
              <w:spacing w:before="87"/>
              <w:ind w:left="247"/>
              <w:rPr>
                <w:sz w:val="19"/>
              </w:rPr>
            </w:pPr>
            <w:r>
              <w:rPr>
                <w:sz w:val="19"/>
              </w:rPr>
              <w:t>Private</w:t>
            </w:r>
            <w:r>
              <w:rPr>
                <w:spacing w:val="-7"/>
                <w:sz w:val="19"/>
              </w:rPr>
              <w:t> </w:t>
            </w:r>
            <w:r>
              <w:rPr>
                <w:spacing w:val="-2"/>
                <w:sz w:val="19"/>
              </w:rPr>
              <w:t>Occupancy</w:t>
            </w:r>
          </w:p>
        </w:tc>
        <w:tc>
          <w:tcPr>
            <w:tcW w:w="4133" w:type="dxa"/>
          </w:tcPr>
          <w:p>
            <w:pPr>
              <w:pStyle w:val="TableParagraph"/>
              <w:spacing w:line="310" w:lineRule="exact"/>
              <w:ind w:left="3311" w:right="142" w:hanging="96"/>
              <w:jc w:val="right"/>
              <w:rPr>
                <w:sz w:val="19"/>
              </w:rPr>
            </w:pPr>
            <w:r>
              <w:rPr>
                <w:spacing w:val="-2"/>
                <w:sz w:val="19"/>
              </w:rPr>
              <w:t>$</w:t>
            </w:r>
            <w:r>
              <w:rPr>
                <w:strike/>
                <w:color w:val="0101FF"/>
                <w:spacing w:val="-2"/>
                <w:sz w:val="19"/>
              </w:rPr>
              <w:t>2,900.00</w:t>
            </w:r>
            <w:r>
              <w:rPr>
                <w:strike w:val="0"/>
                <w:color w:val="0101FF"/>
                <w:spacing w:val="-2"/>
                <w:sz w:val="19"/>
              </w:rPr>
              <w:t> 3,030.00</w:t>
            </w:r>
          </w:p>
        </w:tc>
      </w:tr>
    </w:tbl>
    <w:p>
      <w:pPr>
        <w:pStyle w:val="BodyText"/>
        <w:spacing w:before="9"/>
        <w:rPr>
          <w:sz w:val="18"/>
        </w:rPr>
      </w:pPr>
    </w:p>
    <w:p>
      <w:pPr>
        <w:pStyle w:val="BodyText"/>
        <w:ind w:left="1304" w:right="3410"/>
        <w:jc w:val="center"/>
      </w:pPr>
      <w:r>
        <w:rPr/>
        <w:t>THE</w:t>
      </w:r>
      <w:r>
        <w:rPr>
          <w:spacing w:val="-7"/>
        </w:rPr>
        <w:t> </w:t>
      </w:r>
      <w:r>
        <w:rPr>
          <w:spacing w:val="-2"/>
        </w:rPr>
        <w:t>CROSSINGS</w:t>
      </w:r>
    </w:p>
    <w:p>
      <w:pPr>
        <w:pStyle w:val="BodyText"/>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4"/>
        <w:gridCol w:w="3953"/>
      </w:tblGrid>
      <w:tr>
        <w:trPr>
          <w:trHeight w:val="330" w:hRule="atLeast"/>
        </w:trPr>
        <w:tc>
          <w:tcPr>
            <w:tcW w:w="3514" w:type="dxa"/>
          </w:tcPr>
          <w:p>
            <w:pPr>
              <w:pStyle w:val="TableParagraph"/>
              <w:spacing w:line="214" w:lineRule="exact"/>
              <w:ind w:left="907"/>
              <w:rPr>
                <w:b/>
                <w:sz w:val="19"/>
              </w:rPr>
            </w:pPr>
            <w:r>
              <w:rPr>
                <w:b/>
                <w:sz w:val="19"/>
              </w:rPr>
              <w:t>Number</w:t>
            </w:r>
            <w:r>
              <w:rPr>
                <w:b/>
                <w:spacing w:val="-5"/>
                <w:sz w:val="19"/>
              </w:rPr>
              <w:t> </w:t>
            </w:r>
            <w:r>
              <w:rPr>
                <w:b/>
                <w:sz w:val="19"/>
              </w:rPr>
              <w:t>of</w:t>
            </w:r>
            <w:r>
              <w:rPr>
                <w:b/>
                <w:spacing w:val="-6"/>
                <w:sz w:val="19"/>
              </w:rPr>
              <w:t> </w:t>
            </w:r>
            <w:r>
              <w:rPr>
                <w:b/>
                <w:spacing w:val="-2"/>
                <w:sz w:val="19"/>
              </w:rPr>
              <w:t>Occupancy</w:t>
            </w:r>
          </w:p>
        </w:tc>
        <w:tc>
          <w:tcPr>
            <w:tcW w:w="3953" w:type="dxa"/>
          </w:tcPr>
          <w:p>
            <w:pPr>
              <w:pStyle w:val="TableParagraph"/>
              <w:spacing w:line="214" w:lineRule="exact"/>
              <w:ind w:left="1727" w:right="1764"/>
              <w:jc w:val="center"/>
              <w:rPr>
                <w:b/>
                <w:sz w:val="19"/>
              </w:rPr>
            </w:pPr>
            <w:r>
              <w:rPr>
                <w:b/>
                <w:spacing w:val="-2"/>
                <w:sz w:val="19"/>
              </w:rPr>
              <w:t>Price</w:t>
            </w:r>
          </w:p>
        </w:tc>
      </w:tr>
      <w:tr>
        <w:trPr>
          <w:trHeight w:val="429" w:hRule="atLeast"/>
        </w:trPr>
        <w:tc>
          <w:tcPr>
            <w:tcW w:w="3514" w:type="dxa"/>
          </w:tcPr>
          <w:p>
            <w:pPr>
              <w:pStyle w:val="TableParagraph"/>
              <w:spacing w:line="214" w:lineRule="exact"/>
              <w:ind w:left="247"/>
              <w:rPr>
                <w:sz w:val="19"/>
              </w:rPr>
            </w:pPr>
            <w:r>
              <w:rPr>
                <w:sz w:val="19"/>
              </w:rPr>
              <w:t>Double</w:t>
            </w:r>
            <w:r>
              <w:rPr>
                <w:spacing w:val="-4"/>
                <w:sz w:val="19"/>
              </w:rPr>
              <w:t> </w:t>
            </w:r>
            <w:r>
              <w:rPr>
                <w:spacing w:val="-2"/>
                <w:sz w:val="19"/>
              </w:rPr>
              <w:t>Occupancy</w:t>
            </w:r>
          </w:p>
        </w:tc>
        <w:tc>
          <w:tcPr>
            <w:tcW w:w="3953" w:type="dxa"/>
          </w:tcPr>
          <w:p>
            <w:pPr>
              <w:pStyle w:val="TableParagraph"/>
              <w:spacing w:line="214" w:lineRule="exact"/>
              <w:ind w:left="3131" w:right="142" w:hanging="96"/>
              <w:jc w:val="right"/>
              <w:rPr>
                <w:sz w:val="19"/>
              </w:rPr>
            </w:pPr>
            <w:r>
              <w:rPr>
                <w:spacing w:val="-2"/>
                <w:sz w:val="19"/>
              </w:rPr>
              <w:t>$</w:t>
            </w:r>
            <w:r>
              <w:rPr>
                <w:strike/>
                <w:color w:val="0101FF"/>
                <w:spacing w:val="-2"/>
                <w:sz w:val="19"/>
              </w:rPr>
              <w:t>2,100.00</w:t>
            </w:r>
            <w:r>
              <w:rPr>
                <w:strike w:val="0"/>
                <w:color w:val="0101FF"/>
                <w:spacing w:val="-2"/>
                <w:sz w:val="19"/>
              </w:rPr>
              <w:t> 2,190.00</w:t>
            </w:r>
          </w:p>
        </w:tc>
      </w:tr>
      <w:tr>
        <w:trPr>
          <w:trHeight w:val="659" w:hRule="atLeast"/>
        </w:trPr>
        <w:tc>
          <w:tcPr>
            <w:tcW w:w="3514" w:type="dxa"/>
          </w:tcPr>
          <w:p>
            <w:pPr>
              <w:pStyle w:val="TableParagraph"/>
              <w:spacing w:before="110"/>
              <w:ind w:left="247"/>
              <w:rPr>
                <w:sz w:val="19"/>
              </w:rPr>
            </w:pPr>
            <w:r>
              <w:rPr>
                <w:sz w:val="19"/>
              </w:rPr>
              <w:t>Triple</w:t>
            </w:r>
            <w:r>
              <w:rPr>
                <w:spacing w:val="-6"/>
                <w:sz w:val="19"/>
              </w:rPr>
              <w:t> </w:t>
            </w:r>
            <w:r>
              <w:rPr>
                <w:spacing w:val="-2"/>
                <w:sz w:val="19"/>
              </w:rPr>
              <w:t>Occupancy</w:t>
            </w:r>
          </w:p>
        </w:tc>
        <w:tc>
          <w:tcPr>
            <w:tcW w:w="3953" w:type="dxa"/>
          </w:tcPr>
          <w:p>
            <w:pPr>
              <w:pStyle w:val="TableParagraph"/>
              <w:spacing w:line="330" w:lineRule="atLeast"/>
              <w:ind w:left="3131" w:right="142" w:hanging="96"/>
              <w:jc w:val="right"/>
              <w:rPr>
                <w:sz w:val="19"/>
              </w:rPr>
            </w:pPr>
            <w:r>
              <w:rPr>
                <w:spacing w:val="-2"/>
                <w:sz w:val="19"/>
              </w:rPr>
              <w:t>$</w:t>
            </w:r>
            <w:r>
              <w:rPr>
                <w:strike/>
                <w:color w:val="0101FF"/>
                <w:spacing w:val="-2"/>
                <w:sz w:val="19"/>
              </w:rPr>
              <w:t>1,700.00</w:t>
            </w:r>
            <w:r>
              <w:rPr>
                <w:strike w:val="0"/>
                <w:color w:val="0101FF"/>
                <w:spacing w:val="-2"/>
                <w:sz w:val="19"/>
              </w:rPr>
              <w:t> 1,775.00</w:t>
            </w:r>
          </w:p>
        </w:tc>
      </w:tr>
      <w:tr>
        <w:trPr>
          <w:trHeight w:val="618" w:hRule="atLeast"/>
        </w:trPr>
        <w:tc>
          <w:tcPr>
            <w:tcW w:w="3514" w:type="dxa"/>
          </w:tcPr>
          <w:p>
            <w:pPr>
              <w:pStyle w:val="TableParagraph"/>
              <w:spacing w:before="91"/>
              <w:ind w:left="247"/>
              <w:rPr>
                <w:sz w:val="19"/>
              </w:rPr>
            </w:pPr>
            <w:r>
              <w:rPr>
                <w:sz w:val="19"/>
              </w:rPr>
              <w:t>Private</w:t>
            </w:r>
            <w:r>
              <w:rPr>
                <w:spacing w:val="-7"/>
                <w:sz w:val="19"/>
              </w:rPr>
              <w:t> </w:t>
            </w:r>
            <w:r>
              <w:rPr>
                <w:spacing w:val="-2"/>
                <w:sz w:val="19"/>
              </w:rPr>
              <w:t>Occupancy</w:t>
            </w:r>
          </w:p>
        </w:tc>
        <w:tc>
          <w:tcPr>
            <w:tcW w:w="3953" w:type="dxa"/>
          </w:tcPr>
          <w:p>
            <w:pPr>
              <w:pStyle w:val="TableParagraph"/>
              <w:spacing w:line="310" w:lineRule="exact"/>
              <w:ind w:left="3131" w:right="142" w:hanging="96"/>
              <w:jc w:val="right"/>
              <w:rPr>
                <w:sz w:val="19"/>
              </w:rPr>
            </w:pPr>
            <w:r>
              <w:rPr>
                <w:spacing w:val="-2"/>
                <w:sz w:val="19"/>
              </w:rPr>
              <w:t>$</w:t>
            </w:r>
            <w:r>
              <w:rPr>
                <w:strike/>
                <w:color w:val="0101FF"/>
                <w:spacing w:val="-2"/>
                <w:sz w:val="19"/>
              </w:rPr>
              <w:t>4,200.00</w:t>
            </w:r>
            <w:r>
              <w:rPr>
                <w:strike w:val="0"/>
                <w:color w:val="0101FF"/>
                <w:spacing w:val="-2"/>
                <w:sz w:val="19"/>
              </w:rPr>
              <w:t> 4,380.00</w:t>
            </w:r>
          </w:p>
        </w:tc>
      </w:tr>
    </w:tbl>
    <w:p>
      <w:pPr>
        <w:pStyle w:val="BodyText"/>
        <w:spacing w:before="2"/>
      </w:pPr>
    </w:p>
    <w:p>
      <w:pPr>
        <w:pStyle w:val="BodyText"/>
        <w:ind w:left="1305" w:right="3410"/>
        <w:jc w:val="center"/>
      </w:pPr>
      <w:r>
        <w:rPr/>
        <w:t>OSPREY</w:t>
      </w:r>
      <w:r>
        <w:rPr>
          <w:spacing w:val="-10"/>
        </w:rPr>
        <w:t> </w:t>
      </w:r>
      <w:r>
        <w:rPr>
          <w:spacing w:val="-4"/>
        </w:rPr>
        <w:t>COVE</w:t>
      </w:r>
    </w:p>
    <w:p>
      <w:pPr>
        <w:pStyle w:val="BodyText"/>
        <w:spacing w:before="9"/>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4"/>
        <w:gridCol w:w="3953"/>
      </w:tblGrid>
      <w:tr>
        <w:trPr>
          <w:trHeight w:val="330" w:hRule="atLeast"/>
        </w:trPr>
        <w:tc>
          <w:tcPr>
            <w:tcW w:w="3514" w:type="dxa"/>
          </w:tcPr>
          <w:p>
            <w:pPr>
              <w:pStyle w:val="TableParagraph"/>
              <w:spacing w:line="211" w:lineRule="exact"/>
              <w:ind w:left="907"/>
              <w:rPr>
                <w:b/>
                <w:sz w:val="19"/>
              </w:rPr>
            </w:pPr>
            <w:r>
              <w:rPr>
                <w:b/>
                <w:sz w:val="19"/>
              </w:rPr>
              <w:t>Number</w:t>
            </w:r>
            <w:r>
              <w:rPr>
                <w:b/>
                <w:spacing w:val="-5"/>
                <w:sz w:val="19"/>
              </w:rPr>
              <w:t> </w:t>
            </w:r>
            <w:r>
              <w:rPr>
                <w:b/>
                <w:sz w:val="19"/>
              </w:rPr>
              <w:t>of</w:t>
            </w:r>
            <w:r>
              <w:rPr>
                <w:b/>
                <w:spacing w:val="-6"/>
                <w:sz w:val="19"/>
              </w:rPr>
              <w:t> </w:t>
            </w:r>
            <w:r>
              <w:rPr>
                <w:b/>
                <w:spacing w:val="-2"/>
                <w:sz w:val="19"/>
              </w:rPr>
              <w:t>Occupancy</w:t>
            </w:r>
          </w:p>
        </w:tc>
        <w:tc>
          <w:tcPr>
            <w:tcW w:w="3953" w:type="dxa"/>
          </w:tcPr>
          <w:p>
            <w:pPr>
              <w:pStyle w:val="TableParagraph"/>
              <w:spacing w:line="211" w:lineRule="exact"/>
              <w:ind w:left="1727" w:right="1764"/>
              <w:jc w:val="center"/>
              <w:rPr>
                <w:b/>
                <w:sz w:val="19"/>
              </w:rPr>
            </w:pPr>
            <w:r>
              <w:rPr>
                <w:b/>
                <w:spacing w:val="-2"/>
                <w:sz w:val="19"/>
              </w:rPr>
              <w:t>Price</w:t>
            </w:r>
          </w:p>
        </w:tc>
      </w:tr>
      <w:tr>
        <w:trPr>
          <w:trHeight w:val="429" w:hRule="atLeast"/>
        </w:trPr>
        <w:tc>
          <w:tcPr>
            <w:tcW w:w="3514" w:type="dxa"/>
          </w:tcPr>
          <w:p>
            <w:pPr>
              <w:pStyle w:val="TableParagraph"/>
              <w:spacing w:line="211" w:lineRule="exact"/>
              <w:ind w:left="247"/>
              <w:rPr>
                <w:sz w:val="19"/>
              </w:rPr>
            </w:pPr>
            <w:r>
              <w:rPr>
                <w:sz w:val="19"/>
              </w:rPr>
              <w:t>Double</w:t>
            </w:r>
            <w:r>
              <w:rPr>
                <w:spacing w:val="-4"/>
                <w:sz w:val="19"/>
              </w:rPr>
              <w:t> </w:t>
            </w:r>
            <w:r>
              <w:rPr>
                <w:spacing w:val="-2"/>
                <w:sz w:val="19"/>
              </w:rPr>
              <w:t>Occupancy</w:t>
            </w:r>
          </w:p>
        </w:tc>
        <w:tc>
          <w:tcPr>
            <w:tcW w:w="3953" w:type="dxa"/>
          </w:tcPr>
          <w:p>
            <w:pPr>
              <w:pStyle w:val="TableParagraph"/>
              <w:spacing w:line="210" w:lineRule="exact"/>
              <w:ind w:right="142"/>
              <w:jc w:val="right"/>
              <w:rPr>
                <w:sz w:val="19"/>
              </w:rPr>
            </w:pPr>
            <w:r>
              <w:rPr>
                <w:spacing w:val="-2"/>
                <w:sz w:val="19"/>
              </w:rPr>
              <w:t>$</w:t>
            </w:r>
            <w:r>
              <w:rPr>
                <w:strike/>
                <w:color w:val="0101FF"/>
                <w:spacing w:val="-2"/>
                <w:sz w:val="19"/>
              </w:rPr>
              <w:t>1,940.00</w:t>
            </w:r>
          </w:p>
          <w:p>
            <w:pPr>
              <w:pStyle w:val="TableParagraph"/>
              <w:spacing w:line="199" w:lineRule="exact"/>
              <w:ind w:right="143"/>
              <w:jc w:val="right"/>
              <w:rPr>
                <w:sz w:val="19"/>
              </w:rPr>
            </w:pPr>
            <w:r>
              <w:rPr>
                <w:color w:val="0101FF"/>
                <w:spacing w:val="-2"/>
                <w:sz w:val="19"/>
              </w:rPr>
              <w:t>2,025.00</w:t>
            </w:r>
          </w:p>
        </w:tc>
      </w:tr>
      <w:tr>
        <w:trPr>
          <w:trHeight w:val="659" w:hRule="atLeast"/>
        </w:trPr>
        <w:tc>
          <w:tcPr>
            <w:tcW w:w="3514" w:type="dxa"/>
          </w:tcPr>
          <w:p>
            <w:pPr>
              <w:pStyle w:val="TableParagraph"/>
              <w:spacing w:before="110"/>
              <w:ind w:left="247"/>
              <w:rPr>
                <w:sz w:val="19"/>
              </w:rPr>
            </w:pPr>
            <w:r>
              <w:rPr>
                <w:sz w:val="19"/>
              </w:rPr>
              <w:t>Triple</w:t>
            </w:r>
            <w:r>
              <w:rPr>
                <w:spacing w:val="-6"/>
                <w:sz w:val="19"/>
              </w:rPr>
              <w:t> </w:t>
            </w:r>
            <w:r>
              <w:rPr>
                <w:spacing w:val="-2"/>
                <w:sz w:val="19"/>
              </w:rPr>
              <w:t>Occupancy</w:t>
            </w:r>
          </w:p>
        </w:tc>
        <w:tc>
          <w:tcPr>
            <w:tcW w:w="3953" w:type="dxa"/>
          </w:tcPr>
          <w:p>
            <w:pPr>
              <w:pStyle w:val="TableParagraph"/>
              <w:spacing w:line="330" w:lineRule="atLeast"/>
              <w:ind w:left="3131" w:right="142" w:hanging="96"/>
              <w:jc w:val="right"/>
              <w:rPr>
                <w:sz w:val="19"/>
              </w:rPr>
            </w:pPr>
            <w:r>
              <w:rPr>
                <w:spacing w:val="-2"/>
                <w:sz w:val="19"/>
              </w:rPr>
              <w:t>$</w:t>
            </w:r>
            <w:r>
              <w:rPr>
                <w:strike/>
                <w:color w:val="0101FF"/>
                <w:spacing w:val="-2"/>
                <w:sz w:val="19"/>
              </w:rPr>
              <w:t>1,560.00</w:t>
            </w:r>
            <w:r>
              <w:rPr>
                <w:strike w:val="0"/>
                <w:color w:val="0101FF"/>
                <w:spacing w:val="-2"/>
                <w:sz w:val="19"/>
              </w:rPr>
              <w:t> 1,625.00</w:t>
            </w:r>
          </w:p>
        </w:tc>
      </w:tr>
      <w:tr>
        <w:trPr>
          <w:trHeight w:val="330" w:hRule="atLeast"/>
        </w:trPr>
        <w:tc>
          <w:tcPr>
            <w:tcW w:w="3514" w:type="dxa"/>
          </w:tcPr>
          <w:p>
            <w:pPr>
              <w:pStyle w:val="TableParagraph"/>
              <w:spacing w:before="91"/>
              <w:ind w:left="247"/>
              <w:rPr>
                <w:sz w:val="19"/>
              </w:rPr>
            </w:pPr>
            <w:r>
              <w:rPr>
                <w:sz w:val="19"/>
              </w:rPr>
              <w:t>Private</w:t>
            </w:r>
            <w:r>
              <w:rPr>
                <w:spacing w:val="-7"/>
                <w:sz w:val="19"/>
              </w:rPr>
              <w:t> </w:t>
            </w:r>
            <w:r>
              <w:rPr>
                <w:spacing w:val="-2"/>
                <w:sz w:val="19"/>
              </w:rPr>
              <w:t>Occupancy</w:t>
            </w:r>
          </w:p>
        </w:tc>
        <w:tc>
          <w:tcPr>
            <w:tcW w:w="3953" w:type="dxa"/>
          </w:tcPr>
          <w:p>
            <w:pPr>
              <w:pStyle w:val="TableParagraph"/>
              <w:spacing w:before="91"/>
              <w:ind w:right="142"/>
              <w:jc w:val="right"/>
              <w:rPr>
                <w:sz w:val="19"/>
              </w:rPr>
            </w:pPr>
            <w:r>
              <w:rPr>
                <w:spacing w:val="-2"/>
                <w:sz w:val="19"/>
              </w:rPr>
              <w:t>$</w:t>
            </w:r>
            <w:r>
              <w:rPr>
                <w:strike/>
                <w:color w:val="0101FF"/>
                <w:spacing w:val="-2"/>
                <w:sz w:val="19"/>
              </w:rPr>
              <w:t>3,880.00</w:t>
            </w:r>
          </w:p>
        </w:tc>
      </w:tr>
    </w:tbl>
    <w:p>
      <w:pPr>
        <w:spacing w:after="0"/>
        <w:jc w:val="right"/>
        <w:rPr>
          <w:sz w:val="19"/>
        </w:rPr>
        <w:sectPr>
          <w:pgSz w:w="12240" w:h="15840"/>
          <w:pgMar w:top="1420" w:bottom="280" w:left="800" w:right="1020"/>
        </w:sect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4"/>
        <w:gridCol w:w="3953"/>
      </w:tblGrid>
      <w:tr>
        <w:trPr>
          <w:trHeight w:val="330" w:hRule="atLeast"/>
        </w:trPr>
        <w:tc>
          <w:tcPr>
            <w:tcW w:w="3514" w:type="dxa"/>
          </w:tcPr>
          <w:p>
            <w:pPr>
              <w:pStyle w:val="TableParagraph"/>
              <w:spacing w:line="211" w:lineRule="exact"/>
              <w:ind w:left="907"/>
              <w:rPr>
                <w:b/>
                <w:sz w:val="19"/>
              </w:rPr>
            </w:pPr>
            <w:r>
              <w:rPr>
                <w:b/>
                <w:sz w:val="19"/>
              </w:rPr>
              <w:t>Number</w:t>
            </w:r>
            <w:r>
              <w:rPr>
                <w:b/>
                <w:spacing w:val="-5"/>
                <w:sz w:val="19"/>
              </w:rPr>
              <w:t> </w:t>
            </w:r>
            <w:r>
              <w:rPr>
                <w:b/>
                <w:sz w:val="19"/>
              </w:rPr>
              <w:t>of</w:t>
            </w:r>
            <w:r>
              <w:rPr>
                <w:b/>
                <w:spacing w:val="-6"/>
                <w:sz w:val="19"/>
              </w:rPr>
              <w:t> </w:t>
            </w:r>
            <w:r>
              <w:rPr>
                <w:b/>
                <w:spacing w:val="-2"/>
                <w:sz w:val="19"/>
              </w:rPr>
              <w:t>Occupancy</w:t>
            </w:r>
          </w:p>
        </w:tc>
        <w:tc>
          <w:tcPr>
            <w:tcW w:w="3953" w:type="dxa"/>
          </w:tcPr>
          <w:p>
            <w:pPr>
              <w:pStyle w:val="TableParagraph"/>
              <w:spacing w:line="211" w:lineRule="exact"/>
              <w:ind w:left="1727" w:right="1764"/>
              <w:jc w:val="center"/>
              <w:rPr>
                <w:b/>
                <w:sz w:val="19"/>
              </w:rPr>
            </w:pPr>
            <w:r>
              <w:rPr>
                <w:b/>
                <w:spacing w:val="-2"/>
                <w:sz w:val="19"/>
              </w:rPr>
              <w:t>Price</w:t>
            </w:r>
          </w:p>
        </w:tc>
      </w:tr>
      <w:tr>
        <w:trPr>
          <w:trHeight w:val="330" w:hRule="atLeast"/>
        </w:trPr>
        <w:tc>
          <w:tcPr>
            <w:tcW w:w="3514" w:type="dxa"/>
          </w:tcPr>
          <w:p>
            <w:pPr>
              <w:pStyle w:val="TableParagraph"/>
              <w:rPr>
                <w:sz w:val="18"/>
              </w:rPr>
            </w:pPr>
          </w:p>
        </w:tc>
        <w:tc>
          <w:tcPr>
            <w:tcW w:w="3953" w:type="dxa"/>
          </w:tcPr>
          <w:p>
            <w:pPr>
              <w:pStyle w:val="TableParagraph"/>
              <w:spacing w:before="91"/>
              <w:ind w:right="143"/>
              <w:jc w:val="right"/>
              <w:rPr>
                <w:sz w:val="19"/>
              </w:rPr>
            </w:pPr>
            <w:r>
              <w:rPr>
                <w:color w:val="0101FF"/>
                <w:spacing w:val="-2"/>
                <w:sz w:val="19"/>
              </w:rPr>
              <w:t>4,050.00</w:t>
            </w:r>
          </w:p>
        </w:tc>
      </w:tr>
    </w:tbl>
    <w:p>
      <w:pPr>
        <w:pStyle w:val="BodyText"/>
        <w:spacing w:before="21"/>
        <w:ind w:left="3337"/>
      </w:pPr>
      <w:r>
        <w:rPr/>
        <w:t>OSPREY</w:t>
      </w:r>
      <w:r>
        <w:rPr>
          <w:spacing w:val="-10"/>
        </w:rPr>
        <w:t> </w:t>
      </w:r>
      <w:r>
        <w:rPr>
          <w:spacing w:val="-2"/>
        </w:rPr>
        <w:t>LANDING</w:t>
      </w:r>
    </w:p>
    <w:p>
      <w:pPr>
        <w:pStyle w:val="BodyText"/>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4"/>
        <w:gridCol w:w="3432"/>
      </w:tblGrid>
      <w:tr>
        <w:trPr>
          <w:trHeight w:val="330" w:hRule="atLeast"/>
        </w:trPr>
        <w:tc>
          <w:tcPr>
            <w:tcW w:w="3514" w:type="dxa"/>
          </w:tcPr>
          <w:p>
            <w:pPr>
              <w:pStyle w:val="TableParagraph"/>
              <w:spacing w:line="214" w:lineRule="exact"/>
              <w:ind w:left="907"/>
              <w:rPr>
                <w:b/>
                <w:sz w:val="19"/>
              </w:rPr>
            </w:pPr>
            <w:r>
              <w:rPr>
                <w:b/>
                <w:sz w:val="19"/>
              </w:rPr>
              <w:t>Number</w:t>
            </w:r>
            <w:r>
              <w:rPr>
                <w:b/>
                <w:spacing w:val="-5"/>
                <w:sz w:val="19"/>
              </w:rPr>
              <w:t> </w:t>
            </w:r>
            <w:r>
              <w:rPr>
                <w:b/>
                <w:sz w:val="19"/>
              </w:rPr>
              <w:t>of</w:t>
            </w:r>
            <w:r>
              <w:rPr>
                <w:b/>
                <w:spacing w:val="-6"/>
                <w:sz w:val="19"/>
              </w:rPr>
              <w:t> </w:t>
            </w:r>
            <w:r>
              <w:rPr>
                <w:b/>
                <w:spacing w:val="-2"/>
                <w:sz w:val="19"/>
              </w:rPr>
              <w:t>Occupancy</w:t>
            </w:r>
          </w:p>
        </w:tc>
        <w:tc>
          <w:tcPr>
            <w:tcW w:w="3432" w:type="dxa"/>
          </w:tcPr>
          <w:p>
            <w:pPr>
              <w:pStyle w:val="TableParagraph"/>
              <w:spacing w:line="214" w:lineRule="exact"/>
              <w:ind w:left="1468" w:right="1502"/>
              <w:jc w:val="center"/>
              <w:rPr>
                <w:b/>
                <w:sz w:val="19"/>
              </w:rPr>
            </w:pPr>
            <w:r>
              <w:rPr>
                <w:b/>
                <w:spacing w:val="-2"/>
                <w:sz w:val="19"/>
              </w:rPr>
              <w:t>Price</w:t>
            </w:r>
          </w:p>
        </w:tc>
      </w:tr>
      <w:tr>
        <w:trPr>
          <w:trHeight w:val="429" w:hRule="atLeast"/>
        </w:trPr>
        <w:tc>
          <w:tcPr>
            <w:tcW w:w="3514" w:type="dxa"/>
          </w:tcPr>
          <w:p>
            <w:pPr>
              <w:pStyle w:val="TableParagraph"/>
              <w:spacing w:line="214" w:lineRule="exact"/>
              <w:ind w:left="247"/>
              <w:rPr>
                <w:sz w:val="19"/>
              </w:rPr>
            </w:pPr>
            <w:r>
              <w:rPr>
                <w:sz w:val="19"/>
              </w:rPr>
              <w:t>Double</w:t>
            </w:r>
            <w:r>
              <w:rPr>
                <w:spacing w:val="-4"/>
                <w:sz w:val="19"/>
              </w:rPr>
              <w:t> </w:t>
            </w:r>
            <w:r>
              <w:rPr>
                <w:spacing w:val="-2"/>
                <w:sz w:val="19"/>
              </w:rPr>
              <w:t>Occupancy</w:t>
            </w:r>
          </w:p>
        </w:tc>
        <w:tc>
          <w:tcPr>
            <w:tcW w:w="3432" w:type="dxa"/>
          </w:tcPr>
          <w:p>
            <w:pPr>
              <w:pStyle w:val="TableParagraph"/>
              <w:spacing w:line="214" w:lineRule="exact"/>
              <w:ind w:left="2613" w:right="140" w:hanging="96"/>
              <w:jc w:val="right"/>
              <w:rPr>
                <w:sz w:val="19"/>
              </w:rPr>
            </w:pPr>
            <w:r>
              <w:rPr>
                <w:spacing w:val="-2"/>
                <w:sz w:val="19"/>
              </w:rPr>
              <w:t>$</w:t>
            </w:r>
            <w:r>
              <w:rPr>
                <w:strike/>
                <w:color w:val="0101FF"/>
                <w:spacing w:val="-2"/>
                <w:sz w:val="19"/>
              </w:rPr>
              <w:t>1,810.00</w:t>
            </w:r>
            <w:r>
              <w:rPr>
                <w:strike w:val="0"/>
                <w:color w:val="0101FF"/>
                <w:spacing w:val="-2"/>
                <w:sz w:val="19"/>
              </w:rPr>
              <w:t> 1,890.00</w:t>
            </w:r>
          </w:p>
        </w:tc>
      </w:tr>
      <w:tr>
        <w:trPr>
          <w:trHeight w:val="659" w:hRule="atLeast"/>
        </w:trPr>
        <w:tc>
          <w:tcPr>
            <w:tcW w:w="3514" w:type="dxa"/>
          </w:tcPr>
          <w:p>
            <w:pPr>
              <w:pStyle w:val="TableParagraph"/>
              <w:spacing w:before="110"/>
              <w:ind w:left="247"/>
              <w:rPr>
                <w:sz w:val="19"/>
              </w:rPr>
            </w:pPr>
            <w:r>
              <w:rPr>
                <w:sz w:val="19"/>
              </w:rPr>
              <w:t>Triple</w:t>
            </w:r>
            <w:r>
              <w:rPr>
                <w:spacing w:val="-6"/>
                <w:sz w:val="19"/>
              </w:rPr>
              <w:t> </w:t>
            </w:r>
            <w:r>
              <w:rPr>
                <w:spacing w:val="-2"/>
                <w:sz w:val="19"/>
              </w:rPr>
              <w:t>Occupancy</w:t>
            </w:r>
          </w:p>
        </w:tc>
        <w:tc>
          <w:tcPr>
            <w:tcW w:w="3432" w:type="dxa"/>
          </w:tcPr>
          <w:p>
            <w:pPr>
              <w:pStyle w:val="TableParagraph"/>
              <w:spacing w:line="330" w:lineRule="atLeast"/>
              <w:ind w:left="2613" w:right="140" w:hanging="96"/>
              <w:jc w:val="right"/>
              <w:rPr>
                <w:sz w:val="19"/>
              </w:rPr>
            </w:pPr>
            <w:r>
              <w:rPr>
                <w:spacing w:val="-2"/>
                <w:sz w:val="19"/>
              </w:rPr>
              <w:t>$</w:t>
            </w:r>
            <w:r>
              <w:rPr>
                <w:strike/>
                <w:color w:val="0101FF"/>
                <w:spacing w:val="-2"/>
                <w:sz w:val="19"/>
              </w:rPr>
              <w:t>1,440.00</w:t>
            </w:r>
            <w:r>
              <w:rPr>
                <w:strike w:val="0"/>
                <w:color w:val="0101FF"/>
                <w:spacing w:val="-2"/>
                <w:sz w:val="19"/>
              </w:rPr>
              <w:t> 1,500.00</w:t>
            </w:r>
          </w:p>
        </w:tc>
      </w:tr>
      <w:tr>
        <w:trPr>
          <w:trHeight w:val="618" w:hRule="atLeast"/>
        </w:trPr>
        <w:tc>
          <w:tcPr>
            <w:tcW w:w="3514" w:type="dxa"/>
          </w:tcPr>
          <w:p>
            <w:pPr>
              <w:pStyle w:val="TableParagraph"/>
              <w:spacing w:before="91"/>
              <w:ind w:left="247"/>
              <w:rPr>
                <w:sz w:val="19"/>
              </w:rPr>
            </w:pPr>
            <w:r>
              <w:rPr>
                <w:sz w:val="19"/>
              </w:rPr>
              <w:t>Private</w:t>
            </w:r>
            <w:r>
              <w:rPr>
                <w:spacing w:val="-7"/>
                <w:sz w:val="19"/>
              </w:rPr>
              <w:t> </w:t>
            </w:r>
            <w:r>
              <w:rPr>
                <w:spacing w:val="-2"/>
                <w:sz w:val="19"/>
              </w:rPr>
              <w:t>Occupancy</w:t>
            </w:r>
          </w:p>
        </w:tc>
        <w:tc>
          <w:tcPr>
            <w:tcW w:w="3432" w:type="dxa"/>
          </w:tcPr>
          <w:p>
            <w:pPr>
              <w:pStyle w:val="TableParagraph"/>
              <w:spacing w:line="310" w:lineRule="exact"/>
              <w:ind w:left="2613" w:right="140" w:hanging="96"/>
              <w:jc w:val="right"/>
              <w:rPr>
                <w:sz w:val="19"/>
              </w:rPr>
            </w:pPr>
            <w:r>
              <w:rPr>
                <w:spacing w:val="-2"/>
                <w:sz w:val="19"/>
              </w:rPr>
              <w:t>$</w:t>
            </w:r>
            <w:r>
              <w:rPr>
                <w:strike/>
                <w:color w:val="0101FF"/>
                <w:spacing w:val="-2"/>
                <w:sz w:val="19"/>
              </w:rPr>
              <w:t>3,620.00</w:t>
            </w:r>
            <w:r>
              <w:rPr>
                <w:strike w:val="0"/>
                <w:color w:val="0101FF"/>
                <w:spacing w:val="-2"/>
                <w:sz w:val="19"/>
              </w:rPr>
              <w:t> 3,780.00</w:t>
            </w:r>
          </w:p>
        </w:tc>
      </w:tr>
    </w:tbl>
    <w:p>
      <w:pPr>
        <w:pStyle w:val="BodyText"/>
        <w:rPr>
          <w:sz w:val="20"/>
        </w:rPr>
      </w:pPr>
    </w:p>
    <w:p>
      <w:pPr>
        <w:pStyle w:val="BodyText"/>
        <w:spacing w:before="3"/>
        <w:rPr>
          <w:sz w:val="20"/>
        </w:rPr>
      </w:pPr>
    </w:p>
    <w:p>
      <w:pPr>
        <w:spacing w:before="0"/>
        <w:ind w:left="2999" w:right="0" w:firstLine="0"/>
        <w:jc w:val="left"/>
        <w:rPr>
          <w:sz w:val="20"/>
        </w:rPr>
      </w:pPr>
      <w:r>
        <w:rPr>
          <w:sz w:val="20"/>
        </w:rPr>
        <w:t>OSPREY</w:t>
      </w:r>
      <w:r>
        <w:rPr>
          <w:spacing w:val="-8"/>
          <w:sz w:val="20"/>
        </w:rPr>
        <w:t> </w:t>
      </w:r>
      <w:r>
        <w:rPr>
          <w:spacing w:val="-2"/>
          <w:sz w:val="20"/>
        </w:rPr>
        <w:t>VILLAGE</w:t>
      </w:r>
    </w:p>
    <w:p>
      <w:pPr>
        <w:pStyle w:val="BodyText"/>
        <w:rPr>
          <w:sz w:val="20"/>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66"/>
        <w:gridCol w:w="3079"/>
      </w:tblGrid>
      <w:tr>
        <w:trPr>
          <w:trHeight w:val="443" w:hRule="atLeast"/>
        </w:trPr>
        <w:tc>
          <w:tcPr>
            <w:tcW w:w="3866" w:type="dxa"/>
          </w:tcPr>
          <w:p>
            <w:pPr>
              <w:pStyle w:val="TableParagraph"/>
              <w:spacing w:line="220" w:lineRule="exact"/>
              <w:ind w:left="592" w:right="2354" w:firstLine="14"/>
              <w:rPr>
                <w:b/>
                <w:sz w:val="19"/>
              </w:rPr>
            </w:pPr>
            <w:r>
              <w:rPr>
                <w:b/>
                <w:sz w:val="19"/>
              </w:rPr>
              <w:t>Number</w:t>
            </w:r>
            <w:r>
              <w:rPr>
                <w:b/>
                <w:spacing w:val="-12"/>
                <w:sz w:val="19"/>
              </w:rPr>
              <w:t> </w:t>
            </w:r>
            <w:r>
              <w:rPr>
                <w:b/>
                <w:sz w:val="19"/>
              </w:rPr>
              <w:t>of </w:t>
            </w:r>
            <w:r>
              <w:rPr>
                <w:b/>
                <w:spacing w:val="-2"/>
                <w:sz w:val="19"/>
              </w:rPr>
              <w:t>Occupancy</w:t>
            </w:r>
          </w:p>
        </w:tc>
        <w:tc>
          <w:tcPr>
            <w:tcW w:w="3079" w:type="dxa"/>
          </w:tcPr>
          <w:p>
            <w:pPr>
              <w:pStyle w:val="TableParagraph"/>
              <w:spacing w:line="211" w:lineRule="exact"/>
              <w:ind w:left="1316" w:right="1301"/>
              <w:jc w:val="center"/>
              <w:rPr>
                <w:b/>
                <w:sz w:val="19"/>
              </w:rPr>
            </w:pPr>
            <w:r>
              <w:rPr>
                <w:b/>
                <w:spacing w:val="-2"/>
                <w:sz w:val="19"/>
              </w:rPr>
              <w:t>Price</w:t>
            </w:r>
          </w:p>
        </w:tc>
      </w:tr>
      <w:tr>
        <w:trPr>
          <w:trHeight w:val="443" w:hRule="atLeast"/>
        </w:trPr>
        <w:tc>
          <w:tcPr>
            <w:tcW w:w="3866" w:type="dxa"/>
          </w:tcPr>
          <w:p>
            <w:pPr>
              <w:pStyle w:val="TableParagraph"/>
              <w:ind w:left="107"/>
              <w:rPr>
                <w:sz w:val="19"/>
              </w:rPr>
            </w:pPr>
            <w:r>
              <w:rPr>
                <w:sz w:val="19"/>
              </w:rPr>
              <w:t>Private</w:t>
            </w:r>
            <w:r>
              <w:rPr>
                <w:spacing w:val="-7"/>
                <w:sz w:val="19"/>
              </w:rPr>
              <w:t> </w:t>
            </w:r>
            <w:r>
              <w:rPr>
                <w:spacing w:val="-2"/>
                <w:sz w:val="19"/>
              </w:rPr>
              <w:t>Occupancy</w:t>
            </w:r>
          </w:p>
          <w:p>
            <w:pPr>
              <w:pStyle w:val="TableParagraph"/>
              <w:spacing w:line="200" w:lineRule="exact" w:before="4"/>
              <w:ind w:left="107"/>
              <w:rPr>
                <w:sz w:val="19"/>
              </w:rPr>
            </w:pPr>
            <w:r>
              <w:rPr>
                <w:spacing w:val="-2"/>
                <w:sz w:val="19"/>
              </w:rPr>
              <w:t>(1student/bedroom)</w:t>
            </w:r>
          </w:p>
        </w:tc>
        <w:tc>
          <w:tcPr>
            <w:tcW w:w="3079" w:type="dxa"/>
          </w:tcPr>
          <w:p>
            <w:pPr>
              <w:pStyle w:val="TableParagraph"/>
              <w:spacing w:line="209" w:lineRule="exact"/>
              <w:ind w:right="91"/>
              <w:jc w:val="right"/>
              <w:rPr>
                <w:sz w:val="19"/>
              </w:rPr>
            </w:pPr>
            <w:r>
              <w:rPr>
                <w:spacing w:val="-2"/>
                <w:sz w:val="19"/>
              </w:rPr>
              <w:t>$</w:t>
            </w:r>
            <w:r>
              <w:rPr>
                <w:strike/>
                <w:color w:val="0101FF"/>
                <w:spacing w:val="-2"/>
                <w:sz w:val="19"/>
              </w:rPr>
              <w:t>4,240.00</w:t>
            </w:r>
          </w:p>
          <w:p>
            <w:pPr>
              <w:pStyle w:val="TableParagraph"/>
              <w:spacing w:line="215" w:lineRule="exact"/>
              <w:ind w:right="92"/>
              <w:jc w:val="right"/>
              <w:rPr>
                <w:sz w:val="19"/>
              </w:rPr>
            </w:pPr>
            <w:r>
              <w:rPr>
                <w:color w:val="0101FF"/>
                <w:spacing w:val="-2"/>
                <w:sz w:val="19"/>
              </w:rPr>
              <w:t>4,420.00</w:t>
            </w:r>
          </w:p>
        </w:tc>
      </w:tr>
      <w:tr>
        <w:trPr>
          <w:trHeight w:val="397" w:hRule="atLeast"/>
        </w:trPr>
        <w:tc>
          <w:tcPr>
            <w:tcW w:w="3866" w:type="dxa"/>
          </w:tcPr>
          <w:p>
            <w:pPr>
              <w:pStyle w:val="TableParagraph"/>
              <w:spacing w:line="190" w:lineRule="exact"/>
              <w:ind w:left="107"/>
              <w:rPr>
                <w:sz w:val="19"/>
              </w:rPr>
            </w:pPr>
            <w:r>
              <w:rPr>
                <w:sz w:val="19"/>
              </w:rPr>
              <w:t>Triple</w:t>
            </w:r>
            <w:r>
              <w:rPr>
                <w:spacing w:val="-8"/>
                <w:sz w:val="19"/>
              </w:rPr>
              <w:t> </w:t>
            </w:r>
            <w:r>
              <w:rPr>
                <w:sz w:val="19"/>
              </w:rPr>
              <w:t>Occupancy</w:t>
            </w:r>
            <w:r>
              <w:rPr>
                <w:spacing w:val="-7"/>
                <w:sz w:val="19"/>
              </w:rPr>
              <w:t> </w:t>
            </w:r>
            <w:r>
              <w:rPr>
                <w:sz w:val="19"/>
              </w:rPr>
              <w:t>in</w:t>
            </w:r>
            <w:r>
              <w:rPr>
                <w:spacing w:val="-9"/>
                <w:sz w:val="19"/>
              </w:rPr>
              <w:t> </w:t>
            </w:r>
            <w:r>
              <w:rPr>
                <w:sz w:val="19"/>
              </w:rPr>
              <w:t>1Bedroom</w:t>
            </w:r>
            <w:r>
              <w:rPr>
                <w:spacing w:val="-9"/>
                <w:sz w:val="19"/>
              </w:rPr>
              <w:t> </w:t>
            </w:r>
            <w:r>
              <w:rPr>
                <w:sz w:val="19"/>
              </w:rPr>
              <w:t>Apartment</w:t>
            </w:r>
            <w:r>
              <w:rPr>
                <w:spacing w:val="-7"/>
                <w:sz w:val="19"/>
              </w:rPr>
              <w:t> </w:t>
            </w:r>
            <w:r>
              <w:rPr>
                <w:spacing w:val="-5"/>
                <w:sz w:val="19"/>
              </w:rPr>
              <w:t>(1</w:t>
            </w:r>
          </w:p>
          <w:p>
            <w:pPr>
              <w:pStyle w:val="TableParagraph"/>
              <w:spacing w:line="188" w:lineRule="exact"/>
              <w:ind w:left="107"/>
              <w:rPr>
                <w:sz w:val="19"/>
              </w:rPr>
            </w:pPr>
            <w:r>
              <w:rPr>
                <w:spacing w:val="-2"/>
                <w:sz w:val="19"/>
              </w:rPr>
              <w:t>student/bedroom)</w:t>
            </w:r>
          </w:p>
        </w:tc>
        <w:tc>
          <w:tcPr>
            <w:tcW w:w="3079" w:type="dxa"/>
          </w:tcPr>
          <w:p>
            <w:pPr>
              <w:pStyle w:val="TableParagraph"/>
              <w:spacing w:line="190" w:lineRule="exact"/>
              <w:ind w:right="91"/>
              <w:jc w:val="right"/>
              <w:rPr>
                <w:sz w:val="19"/>
              </w:rPr>
            </w:pPr>
            <w:r>
              <w:rPr>
                <w:spacing w:val="-2"/>
                <w:sz w:val="19"/>
              </w:rPr>
              <w:t>$</w:t>
            </w:r>
            <w:r>
              <w:rPr>
                <w:strike/>
                <w:color w:val="0101FF"/>
                <w:spacing w:val="-2"/>
                <w:sz w:val="19"/>
              </w:rPr>
              <w:t>2,980.00</w:t>
            </w:r>
          </w:p>
          <w:p>
            <w:pPr>
              <w:pStyle w:val="TableParagraph"/>
              <w:spacing w:line="188" w:lineRule="exact"/>
              <w:ind w:right="92"/>
              <w:jc w:val="right"/>
              <w:rPr>
                <w:sz w:val="19"/>
              </w:rPr>
            </w:pPr>
            <w:r>
              <w:rPr>
                <w:color w:val="0101FF"/>
                <w:spacing w:val="-2"/>
                <w:sz w:val="19"/>
              </w:rPr>
              <w:t>1,775.00</w:t>
            </w:r>
          </w:p>
        </w:tc>
      </w:tr>
      <w:tr>
        <w:trPr>
          <w:trHeight w:val="397" w:hRule="atLeast"/>
        </w:trPr>
        <w:tc>
          <w:tcPr>
            <w:tcW w:w="3866" w:type="dxa"/>
          </w:tcPr>
          <w:p>
            <w:pPr>
              <w:pStyle w:val="TableParagraph"/>
              <w:spacing w:line="190" w:lineRule="exact"/>
              <w:ind w:left="107"/>
              <w:rPr>
                <w:sz w:val="19"/>
              </w:rPr>
            </w:pPr>
            <w:r>
              <w:rPr>
                <w:sz w:val="19"/>
              </w:rPr>
              <w:t>Double</w:t>
            </w:r>
            <w:r>
              <w:rPr>
                <w:spacing w:val="-7"/>
                <w:sz w:val="19"/>
              </w:rPr>
              <w:t> </w:t>
            </w:r>
            <w:r>
              <w:rPr>
                <w:sz w:val="19"/>
              </w:rPr>
              <w:t>Occupancy</w:t>
            </w:r>
            <w:r>
              <w:rPr>
                <w:spacing w:val="-6"/>
                <w:sz w:val="19"/>
              </w:rPr>
              <w:t> </w:t>
            </w:r>
            <w:r>
              <w:rPr>
                <w:sz w:val="19"/>
              </w:rPr>
              <w:t>in</w:t>
            </w:r>
            <w:r>
              <w:rPr>
                <w:spacing w:val="-6"/>
                <w:sz w:val="19"/>
              </w:rPr>
              <w:t> </w:t>
            </w:r>
            <w:r>
              <w:rPr>
                <w:sz w:val="19"/>
              </w:rPr>
              <w:t>1</w:t>
            </w:r>
            <w:r>
              <w:rPr>
                <w:spacing w:val="-7"/>
                <w:sz w:val="19"/>
              </w:rPr>
              <w:t> </w:t>
            </w:r>
            <w:r>
              <w:rPr>
                <w:sz w:val="19"/>
              </w:rPr>
              <w:t>Bedroom</w:t>
            </w:r>
            <w:r>
              <w:rPr>
                <w:spacing w:val="3"/>
                <w:sz w:val="19"/>
              </w:rPr>
              <w:t> </w:t>
            </w:r>
            <w:r>
              <w:rPr>
                <w:sz w:val="19"/>
              </w:rPr>
              <w:t>Apartment</w:t>
            </w:r>
            <w:r>
              <w:rPr>
                <w:spacing w:val="-6"/>
                <w:sz w:val="19"/>
              </w:rPr>
              <w:t> </w:t>
            </w:r>
            <w:r>
              <w:rPr>
                <w:spacing w:val="-5"/>
                <w:sz w:val="19"/>
              </w:rPr>
              <w:t>(2</w:t>
            </w:r>
          </w:p>
          <w:p>
            <w:pPr>
              <w:pStyle w:val="TableParagraph"/>
              <w:spacing w:line="188" w:lineRule="exact"/>
              <w:ind w:left="107"/>
              <w:rPr>
                <w:sz w:val="19"/>
              </w:rPr>
            </w:pPr>
            <w:r>
              <w:rPr>
                <w:spacing w:val="-2"/>
                <w:sz w:val="19"/>
              </w:rPr>
              <w:t>students/bedroom)</w:t>
            </w:r>
          </w:p>
        </w:tc>
        <w:tc>
          <w:tcPr>
            <w:tcW w:w="3079" w:type="dxa"/>
          </w:tcPr>
          <w:p>
            <w:pPr>
              <w:pStyle w:val="TableParagraph"/>
              <w:spacing w:line="190" w:lineRule="exact"/>
              <w:ind w:right="134"/>
              <w:jc w:val="right"/>
              <w:rPr>
                <w:sz w:val="19"/>
              </w:rPr>
            </w:pPr>
            <w:r>
              <w:rPr>
                <w:spacing w:val="-2"/>
                <w:sz w:val="19"/>
              </w:rPr>
              <w:t>$</w:t>
            </w:r>
            <w:r>
              <w:rPr>
                <w:strike/>
                <w:color w:val="0101FF"/>
                <w:spacing w:val="-2"/>
                <w:sz w:val="19"/>
              </w:rPr>
              <w:t>2,120.00</w:t>
            </w:r>
          </w:p>
          <w:p>
            <w:pPr>
              <w:pStyle w:val="TableParagraph"/>
              <w:spacing w:line="188" w:lineRule="exact"/>
              <w:ind w:right="135"/>
              <w:jc w:val="right"/>
              <w:rPr>
                <w:sz w:val="19"/>
              </w:rPr>
            </w:pPr>
            <w:r>
              <w:rPr>
                <w:color w:val="0101FF"/>
                <w:spacing w:val="-2"/>
                <w:sz w:val="19"/>
              </w:rPr>
              <w:t>2,210.00</w:t>
            </w:r>
          </w:p>
        </w:tc>
      </w:tr>
      <w:tr>
        <w:trPr>
          <w:trHeight w:val="398" w:hRule="atLeast"/>
        </w:trPr>
        <w:tc>
          <w:tcPr>
            <w:tcW w:w="3866" w:type="dxa"/>
          </w:tcPr>
          <w:p>
            <w:pPr>
              <w:pStyle w:val="TableParagraph"/>
              <w:spacing w:line="190" w:lineRule="exact"/>
              <w:ind w:left="107"/>
              <w:rPr>
                <w:sz w:val="19"/>
              </w:rPr>
            </w:pPr>
            <w:r>
              <w:rPr>
                <w:sz w:val="19"/>
              </w:rPr>
              <w:t>Double</w:t>
            </w:r>
            <w:r>
              <w:rPr>
                <w:spacing w:val="-7"/>
                <w:sz w:val="19"/>
              </w:rPr>
              <w:t> </w:t>
            </w:r>
            <w:r>
              <w:rPr>
                <w:sz w:val="19"/>
              </w:rPr>
              <w:t>Occupancy</w:t>
            </w:r>
            <w:r>
              <w:rPr>
                <w:spacing w:val="-6"/>
                <w:sz w:val="19"/>
              </w:rPr>
              <w:t> </w:t>
            </w:r>
            <w:r>
              <w:rPr>
                <w:sz w:val="19"/>
              </w:rPr>
              <w:t>in</w:t>
            </w:r>
            <w:r>
              <w:rPr>
                <w:spacing w:val="-6"/>
                <w:sz w:val="19"/>
              </w:rPr>
              <w:t> </w:t>
            </w:r>
            <w:r>
              <w:rPr>
                <w:sz w:val="19"/>
              </w:rPr>
              <w:t>2</w:t>
            </w:r>
            <w:r>
              <w:rPr>
                <w:spacing w:val="-7"/>
                <w:sz w:val="19"/>
              </w:rPr>
              <w:t> </w:t>
            </w:r>
            <w:r>
              <w:rPr>
                <w:sz w:val="19"/>
              </w:rPr>
              <w:t>Bedroom</w:t>
            </w:r>
            <w:r>
              <w:rPr>
                <w:spacing w:val="3"/>
                <w:sz w:val="19"/>
              </w:rPr>
              <w:t> </w:t>
            </w:r>
            <w:r>
              <w:rPr>
                <w:sz w:val="19"/>
              </w:rPr>
              <w:t>Apartment</w:t>
            </w:r>
            <w:r>
              <w:rPr>
                <w:spacing w:val="-6"/>
                <w:sz w:val="19"/>
              </w:rPr>
              <w:t> </w:t>
            </w:r>
            <w:r>
              <w:rPr>
                <w:spacing w:val="-5"/>
                <w:sz w:val="19"/>
              </w:rPr>
              <w:t>(2</w:t>
            </w:r>
          </w:p>
          <w:p>
            <w:pPr>
              <w:pStyle w:val="TableParagraph"/>
              <w:spacing w:line="188" w:lineRule="exact"/>
              <w:ind w:left="107"/>
              <w:rPr>
                <w:sz w:val="19"/>
              </w:rPr>
            </w:pPr>
            <w:r>
              <w:rPr>
                <w:spacing w:val="-2"/>
                <w:sz w:val="19"/>
              </w:rPr>
              <w:t>students/bedroom)</w:t>
            </w:r>
          </w:p>
        </w:tc>
        <w:tc>
          <w:tcPr>
            <w:tcW w:w="3079" w:type="dxa"/>
          </w:tcPr>
          <w:p>
            <w:pPr>
              <w:pStyle w:val="TableParagraph"/>
              <w:spacing w:line="190" w:lineRule="exact"/>
              <w:ind w:right="134"/>
              <w:jc w:val="right"/>
              <w:rPr>
                <w:sz w:val="19"/>
              </w:rPr>
            </w:pPr>
            <w:r>
              <w:rPr>
                <w:spacing w:val="-2"/>
                <w:sz w:val="19"/>
              </w:rPr>
              <w:t>$</w:t>
            </w:r>
            <w:r>
              <w:rPr>
                <w:strike/>
                <w:color w:val="0101FF"/>
                <w:spacing w:val="-2"/>
                <w:sz w:val="19"/>
              </w:rPr>
              <w:t>1,490.00</w:t>
            </w:r>
          </w:p>
          <w:p>
            <w:pPr>
              <w:pStyle w:val="TableParagraph"/>
              <w:spacing w:line="188" w:lineRule="exact"/>
              <w:ind w:right="135"/>
              <w:jc w:val="right"/>
              <w:rPr>
                <w:sz w:val="19"/>
              </w:rPr>
            </w:pPr>
            <w:r>
              <w:rPr>
                <w:color w:val="0101FF"/>
                <w:spacing w:val="-2"/>
                <w:sz w:val="19"/>
              </w:rPr>
              <w:t>1,555.00</w:t>
            </w:r>
          </w:p>
        </w:tc>
      </w:tr>
    </w:tbl>
    <w:p>
      <w:pPr>
        <w:pStyle w:val="BodyText"/>
        <w:rPr>
          <w:sz w:val="22"/>
        </w:rPr>
      </w:pPr>
    </w:p>
    <w:p>
      <w:pPr>
        <w:pStyle w:val="BodyText"/>
        <w:spacing w:before="4"/>
        <w:rPr>
          <w:sz w:val="25"/>
        </w:rPr>
      </w:pPr>
    </w:p>
    <w:p>
      <w:pPr>
        <w:pStyle w:val="BodyText"/>
        <w:spacing w:before="1"/>
        <w:ind w:left="3005" w:right="2673"/>
        <w:jc w:val="center"/>
      </w:pPr>
      <w:r>
        <w:rPr>
          <w:w w:val="95"/>
        </w:rPr>
        <w:t>HOUSING</w:t>
      </w:r>
      <w:r>
        <w:rPr>
          <w:spacing w:val="39"/>
        </w:rPr>
        <w:t> </w:t>
      </w:r>
      <w:r>
        <w:rPr>
          <w:w w:val="95"/>
        </w:rPr>
        <w:t>SUPPLEMENTAL</w:t>
      </w:r>
      <w:r>
        <w:rPr>
          <w:spacing w:val="49"/>
        </w:rPr>
        <w:t> </w:t>
      </w:r>
      <w:r>
        <w:rPr>
          <w:spacing w:val="-2"/>
          <w:w w:val="95"/>
        </w:rPr>
        <w:t>CHARGES</w:t>
      </w:r>
    </w:p>
    <w:p>
      <w:pPr>
        <w:pStyle w:val="BodyText"/>
        <w:spacing w:before="3"/>
        <w:rPr>
          <w:sz w:val="27"/>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86"/>
        <w:gridCol w:w="5086"/>
      </w:tblGrid>
      <w:tr>
        <w:trPr>
          <w:trHeight w:val="313" w:hRule="atLeast"/>
        </w:trPr>
        <w:tc>
          <w:tcPr>
            <w:tcW w:w="5086" w:type="dxa"/>
          </w:tcPr>
          <w:p>
            <w:pPr>
              <w:pStyle w:val="TableParagraph"/>
              <w:spacing w:line="198" w:lineRule="exact" w:before="96"/>
              <w:ind w:left="2343" w:right="2337"/>
              <w:jc w:val="center"/>
              <w:rPr>
                <w:b/>
                <w:sz w:val="19"/>
              </w:rPr>
            </w:pPr>
            <w:r>
              <w:rPr>
                <w:b/>
                <w:spacing w:val="-5"/>
                <w:sz w:val="19"/>
              </w:rPr>
              <w:t>FEE</w:t>
            </w:r>
          </w:p>
        </w:tc>
        <w:tc>
          <w:tcPr>
            <w:tcW w:w="5086" w:type="dxa"/>
          </w:tcPr>
          <w:p>
            <w:pPr>
              <w:pStyle w:val="TableParagraph"/>
              <w:spacing w:line="198" w:lineRule="exact" w:before="96"/>
              <w:ind w:left="2343" w:right="2337"/>
              <w:jc w:val="center"/>
              <w:rPr>
                <w:b/>
                <w:sz w:val="19"/>
              </w:rPr>
            </w:pPr>
            <w:r>
              <w:rPr>
                <w:b/>
                <w:spacing w:val="-4"/>
                <w:sz w:val="19"/>
              </w:rPr>
              <w:t>Cost</w:t>
            </w:r>
          </w:p>
        </w:tc>
      </w:tr>
      <w:tr>
        <w:trPr>
          <w:trHeight w:val="316" w:hRule="atLeast"/>
        </w:trPr>
        <w:tc>
          <w:tcPr>
            <w:tcW w:w="5086" w:type="dxa"/>
          </w:tcPr>
          <w:p>
            <w:pPr>
              <w:pStyle w:val="TableParagraph"/>
              <w:spacing w:line="198" w:lineRule="exact" w:before="98"/>
              <w:ind w:left="107"/>
              <w:rPr>
                <w:sz w:val="19"/>
              </w:rPr>
            </w:pPr>
            <w:r>
              <w:rPr>
                <w:spacing w:val="-2"/>
                <w:sz w:val="19"/>
              </w:rPr>
              <w:t>Prepayment</w:t>
            </w:r>
          </w:p>
        </w:tc>
        <w:tc>
          <w:tcPr>
            <w:tcW w:w="5086" w:type="dxa"/>
          </w:tcPr>
          <w:p>
            <w:pPr>
              <w:pStyle w:val="TableParagraph"/>
              <w:spacing w:line="198" w:lineRule="exact" w:before="98"/>
              <w:ind w:left="107"/>
              <w:rPr>
                <w:sz w:val="19"/>
              </w:rPr>
            </w:pPr>
            <w:r>
              <w:rPr>
                <w:spacing w:val="-2"/>
                <w:sz w:val="19"/>
              </w:rPr>
              <w:t>$100.00</w:t>
            </w:r>
          </w:p>
        </w:tc>
      </w:tr>
      <w:tr>
        <w:trPr>
          <w:trHeight w:val="313" w:hRule="atLeast"/>
        </w:trPr>
        <w:tc>
          <w:tcPr>
            <w:tcW w:w="5086" w:type="dxa"/>
          </w:tcPr>
          <w:p>
            <w:pPr>
              <w:pStyle w:val="TableParagraph"/>
              <w:spacing w:line="198" w:lineRule="exact" w:before="96"/>
              <w:ind w:left="107"/>
              <w:rPr>
                <w:sz w:val="19"/>
              </w:rPr>
            </w:pPr>
            <w:r>
              <w:rPr>
                <w:sz w:val="19"/>
              </w:rPr>
              <w:t>Processing</w:t>
            </w:r>
            <w:r>
              <w:rPr>
                <w:spacing w:val="-9"/>
                <w:sz w:val="19"/>
              </w:rPr>
              <w:t> </w:t>
            </w:r>
            <w:r>
              <w:rPr>
                <w:spacing w:val="-5"/>
                <w:sz w:val="19"/>
              </w:rPr>
              <w:t>Fee</w:t>
            </w:r>
          </w:p>
        </w:tc>
        <w:tc>
          <w:tcPr>
            <w:tcW w:w="5086" w:type="dxa"/>
          </w:tcPr>
          <w:p>
            <w:pPr>
              <w:pStyle w:val="TableParagraph"/>
              <w:spacing w:line="198" w:lineRule="exact" w:before="96"/>
              <w:ind w:left="107"/>
              <w:rPr>
                <w:sz w:val="19"/>
              </w:rPr>
            </w:pPr>
            <w:r>
              <w:rPr>
                <w:spacing w:val="-2"/>
                <w:sz w:val="19"/>
              </w:rPr>
              <w:t>$50.00</w:t>
            </w:r>
          </w:p>
        </w:tc>
      </w:tr>
      <w:tr>
        <w:trPr>
          <w:trHeight w:val="1442" w:hRule="atLeast"/>
        </w:trPr>
        <w:tc>
          <w:tcPr>
            <w:tcW w:w="5086" w:type="dxa"/>
          </w:tcPr>
          <w:p>
            <w:pPr>
              <w:pStyle w:val="TableParagraph"/>
              <w:spacing w:before="96"/>
              <w:ind w:left="107"/>
              <w:rPr>
                <w:sz w:val="19"/>
              </w:rPr>
            </w:pPr>
            <w:r>
              <w:rPr>
                <w:sz w:val="19"/>
              </w:rPr>
              <w:t>Intersession</w:t>
            </w:r>
            <w:r>
              <w:rPr>
                <w:spacing w:val="-11"/>
                <w:sz w:val="19"/>
              </w:rPr>
              <w:t> </w:t>
            </w:r>
            <w:r>
              <w:rPr>
                <w:spacing w:val="-5"/>
                <w:sz w:val="19"/>
              </w:rPr>
              <w:t>Fee</w:t>
            </w:r>
          </w:p>
        </w:tc>
        <w:tc>
          <w:tcPr>
            <w:tcW w:w="5086" w:type="dxa"/>
          </w:tcPr>
          <w:p>
            <w:pPr>
              <w:pStyle w:val="TableParagraph"/>
              <w:ind w:left="107"/>
              <w:rPr>
                <w:sz w:val="19"/>
              </w:rPr>
            </w:pPr>
            <w:r>
              <w:rPr>
                <w:w w:val="95"/>
                <w:sz w:val="19"/>
              </w:rPr>
              <w:t>$</w:t>
            </w:r>
            <w:r>
              <w:rPr>
                <w:strike/>
                <w:color w:val="0101FF"/>
                <w:w w:val="95"/>
                <w:sz w:val="19"/>
              </w:rPr>
              <w:t>352.00</w:t>
            </w:r>
            <w:r>
              <w:rPr>
                <w:strike w:val="0"/>
                <w:color w:val="0101FF"/>
                <w:spacing w:val="59"/>
                <w:sz w:val="19"/>
              </w:rPr>
              <w:t> </w:t>
            </w:r>
            <w:r>
              <w:rPr>
                <w:strike w:val="0"/>
                <w:color w:val="0101FF"/>
                <w:w w:val="95"/>
                <w:sz w:val="19"/>
              </w:rPr>
              <w:t>370.00</w:t>
            </w:r>
            <w:r>
              <w:rPr>
                <w:strike w:val="0"/>
                <w:w w:val="95"/>
                <w:sz w:val="19"/>
              </w:rPr>
              <w:t>/one-</w:t>
            </w:r>
            <w:r>
              <w:rPr>
                <w:strike w:val="0"/>
                <w:spacing w:val="-2"/>
                <w:w w:val="95"/>
                <w:sz w:val="19"/>
              </w:rPr>
              <w:t>bedroom</w:t>
            </w:r>
          </w:p>
          <w:p>
            <w:pPr>
              <w:pStyle w:val="TableParagraph"/>
              <w:ind w:left="107"/>
              <w:rPr>
                <w:sz w:val="19"/>
              </w:rPr>
            </w:pPr>
            <w:r>
              <w:rPr>
                <w:w w:val="95"/>
                <w:sz w:val="19"/>
              </w:rPr>
              <w:t>$</w:t>
            </w:r>
            <w:r>
              <w:rPr>
                <w:strike/>
                <w:color w:val="0101FF"/>
                <w:w w:val="95"/>
                <w:sz w:val="19"/>
              </w:rPr>
              <w:t>258.00</w:t>
            </w:r>
            <w:r>
              <w:rPr>
                <w:strike w:val="0"/>
                <w:color w:val="0101FF"/>
                <w:spacing w:val="61"/>
                <w:sz w:val="19"/>
              </w:rPr>
              <w:t> </w:t>
            </w:r>
            <w:r>
              <w:rPr>
                <w:strike w:val="0"/>
                <w:color w:val="0101FF"/>
                <w:w w:val="95"/>
                <w:sz w:val="19"/>
              </w:rPr>
              <w:t>270.00</w:t>
            </w:r>
            <w:r>
              <w:rPr>
                <w:strike w:val="0"/>
                <w:w w:val="95"/>
                <w:sz w:val="19"/>
              </w:rPr>
              <w:t>/two-</w:t>
            </w:r>
            <w:r>
              <w:rPr>
                <w:strike w:val="0"/>
                <w:spacing w:val="-2"/>
                <w:w w:val="95"/>
                <w:sz w:val="19"/>
              </w:rPr>
              <w:t>bedroom</w:t>
            </w:r>
          </w:p>
          <w:p>
            <w:pPr>
              <w:pStyle w:val="TableParagraph"/>
              <w:spacing w:before="2"/>
              <w:ind w:left="107"/>
              <w:rPr>
                <w:sz w:val="19"/>
              </w:rPr>
            </w:pPr>
            <w:r>
              <w:rPr>
                <w:sz w:val="19"/>
              </w:rPr>
              <w:t>$</w:t>
            </w:r>
            <w:r>
              <w:rPr>
                <w:strike/>
                <w:color w:val="0101FF"/>
                <w:sz w:val="19"/>
              </w:rPr>
              <w:t>315.00</w:t>
            </w:r>
            <w:r>
              <w:rPr>
                <w:strike w:val="0"/>
                <w:color w:val="0101FF"/>
                <w:spacing w:val="16"/>
                <w:sz w:val="19"/>
              </w:rPr>
              <w:t> </w:t>
            </w:r>
            <w:r>
              <w:rPr>
                <w:strike w:val="0"/>
                <w:color w:val="0101FF"/>
                <w:sz w:val="19"/>
              </w:rPr>
              <w:t>330.00</w:t>
            </w:r>
            <w:r>
              <w:rPr>
                <w:strike w:val="0"/>
                <w:sz w:val="19"/>
              </w:rPr>
              <w:t>/Osprey</w:t>
            </w:r>
            <w:r>
              <w:rPr>
                <w:strike w:val="0"/>
                <w:spacing w:val="13"/>
                <w:sz w:val="19"/>
              </w:rPr>
              <w:t> </w:t>
            </w:r>
            <w:r>
              <w:rPr>
                <w:strike w:val="0"/>
                <w:spacing w:val="-2"/>
                <w:sz w:val="19"/>
              </w:rPr>
              <w:t>Landing</w:t>
            </w:r>
          </w:p>
          <w:p>
            <w:pPr>
              <w:pStyle w:val="TableParagraph"/>
              <w:ind w:left="107"/>
              <w:rPr>
                <w:sz w:val="19"/>
              </w:rPr>
            </w:pPr>
            <w:r>
              <w:rPr>
                <w:sz w:val="19"/>
              </w:rPr>
              <w:t>$</w:t>
            </w:r>
            <w:r>
              <w:rPr>
                <w:strike/>
                <w:color w:val="0101FF"/>
                <w:sz w:val="19"/>
              </w:rPr>
              <w:t>326.00</w:t>
            </w:r>
            <w:r>
              <w:rPr>
                <w:strike w:val="0"/>
                <w:color w:val="0101FF"/>
                <w:spacing w:val="13"/>
                <w:sz w:val="19"/>
              </w:rPr>
              <w:t> </w:t>
            </w:r>
            <w:r>
              <w:rPr>
                <w:strike w:val="0"/>
                <w:color w:val="0101FF"/>
                <w:sz w:val="19"/>
              </w:rPr>
              <w:t>345.00</w:t>
            </w:r>
            <w:r>
              <w:rPr>
                <w:strike w:val="0"/>
                <w:sz w:val="19"/>
              </w:rPr>
              <w:t>/Osprey</w:t>
            </w:r>
            <w:r>
              <w:rPr>
                <w:strike w:val="0"/>
                <w:spacing w:val="-8"/>
                <w:sz w:val="19"/>
              </w:rPr>
              <w:t> </w:t>
            </w:r>
            <w:r>
              <w:rPr>
                <w:strike w:val="0"/>
                <w:spacing w:val="-4"/>
                <w:sz w:val="19"/>
              </w:rPr>
              <w:t>Cove</w:t>
            </w:r>
          </w:p>
          <w:p>
            <w:pPr>
              <w:pStyle w:val="TableParagraph"/>
              <w:ind w:left="107"/>
              <w:rPr>
                <w:sz w:val="19"/>
              </w:rPr>
            </w:pPr>
            <w:r>
              <w:rPr>
                <w:sz w:val="19"/>
              </w:rPr>
              <w:t>$</w:t>
            </w:r>
            <w:r>
              <w:rPr>
                <w:strike/>
                <w:color w:val="0101FF"/>
                <w:sz w:val="19"/>
              </w:rPr>
              <w:t>347.00</w:t>
            </w:r>
            <w:r>
              <w:rPr>
                <w:strike w:val="0"/>
                <w:color w:val="0101FF"/>
                <w:spacing w:val="-7"/>
                <w:sz w:val="19"/>
              </w:rPr>
              <w:t> </w:t>
            </w:r>
            <w:r>
              <w:rPr>
                <w:strike w:val="0"/>
                <w:color w:val="0101FF"/>
                <w:sz w:val="19"/>
              </w:rPr>
              <w:t>365.00</w:t>
            </w:r>
            <w:r>
              <w:rPr>
                <w:strike w:val="0"/>
                <w:sz w:val="19"/>
              </w:rPr>
              <w:t>/The</w:t>
            </w:r>
            <w:r>
              <w:rPr>
                <w:strike w:val="0"/>
                <w:spacing w:val="-7"/>
                <w:sz w:val="19"/>
              </w:rPr>
              <w:t> </w:t>
            </w:r>
            <w:r>
              <w:rPr>
                <w:strike w:val="0"/>
                <w:spacing w:val="-2"/>
                <w:sz w:val="19"/>
              </w:rPr>
              <w:t>Crossings</w:t>
            </w:r>
          </w:p>
          <w:p>
            <w:pPr>
              <w:pStyle w:val="TableParagraph"/>
              <w:ind w:left="107"/>
              <w:rPr>
                <w:sz w:val="19"/>
              </w:rPr>
            </w:pPr>
            <w:r>
              <w:rPr>
                <w:sz w:val="19"/>
              </w:rPr>
              <w:t>$</w:t>
            </w:r>
            <w:r>
              <w:rPr>
                <w:strike/>
                <w:color w:val="0101FF"/>
                <w:sz w:val="19"/>
              </w:rPr>
              <w:t>342.00</w:t>
            </w:r>
            <w:r>
              <w:rPr>
                <w:strike w:val="0"/>
                <w:color w:val="0101FF"/>
                <w:spacing w:val="-10"/>
                <w:sz w:val="19"/>
              </w:rPr>
              <w:t> </w:t>
            </w:r>
            <w:r>
              <w:rPr>
                <w:strike w:val="0"/>
                <w:color w:val="0101FF"/>
                <w:sz w:val="19"/>
              </w:rPr>
              <w:t>255.00</w:t>
            </w:r>
            <w:r>
              <w:rPr>
                <w:strike w:val="0"/>
                <w:sz w:val="19"/>
              </w:rPr>
              <w:t>/Osprey</w:t>
            </w:r>
            <w:r>
              <w:rPr>
                <w:strike w:val="0"/>
                <w:spacing w:val="-10"/>
                <w:sz w:val="19"/>
              </w:rPr>
              <w:t> </w:t>
            </w:r>
            <w:r>
              <w:rPr>
                <w:strike w:val="0"/>
                <w:spacing w:val="-4"/>
                <w:sz w:val="19"/>
              </w:rPr>
              <w:t>Hall</w:t>
            </w:r>
          </w:p>
        </w:tc>
      </w:tr>
      <w:tr>
        <w:trPr>
          <w:trHeight w:val="313" w:hRule="atLeast"/>
        </w:trPr>
        <w:tc>
          <w:tcPr>
            <w:tcW w:w="5086" w:type="dxa"/>
          </w:tcPr>
          <w:p>
            <w:pPr>
              <w:pStyle w:val="TableParagraph"/>
              <w:spacing w:line="198" w:lineRule="exact" w:before="96"/>
              <w:ind w:left="107"/>
              <w:rPr>
                <w:sz w:val="19"/>
              </w:rPr>
            </w:pPr>
            <w:r>
              <w:rPr>
                <w:sz w:val="19"/>
              </w:rPr>
              <w:t>Residential</w:t>
            </w:r>
            <w:r>
              <w:rPr>
                <w:spacing w:val="-10"/>
                <w:sz w:val="19"/>
              </w:rPr>
              <w:t> </w:t>
            </w:r>
            <w:r>
              <w:rPr>
                <w:spacing w:val="-2"/>
                <w:sz w:val="19"/>
              </w:rPr>
              <w:t>Alternative</w:t>
            </w:r>
          </w:p>
        </w:tc>
        <w:tc>
          <w:tcPr>
            <w:tcW w:w="5086" w:type="dxa"/>
          </w:tcPr>
          <w:p>
            <w:pPr>
              <w:pStyle w:val="TableParagraph"/>
              <w:spacing w:line="198" w:lineRule="exact" w:before="96"/>
              <w:ind w:left="107"/>
              <w:rPr>
                <w:sz w:val="19"/>
              </w:rPr>
            </w:pPr>
            <w:r>
              <w:rPr>
                <w:sz w:val="19"/>
              </w:rPr>
              <w:t>$75.00/</w:t>
            </w:r>
            <w:r>
              <w:rPr>
                <w:spacing w:val="-5"/>
                <w:sz w:val="19"/>
              </w:rPr>
              <w:t> </w:t>
            </w:r>
            <w:r>
              <w:rPr>
                <w:sz w:val="19"/>
              </w:rPr>
              <w:t>two</w:t>
            </w:r>
            <w:r>
              <w:rPr>
                <w:spacing w:val="-3"/>
                <w:sz w:val="19"/>
              </w:rPr>
              <w:t> </w:t>
            </w:r>
            <w:r>
              <w:rPr>
                <w:spacing w:val="-2"/>
                <w:sz w:val="19"/>
              </w:rPr>
              <w:t>terms</w:t>
            </w:r>
          </w:p>
        </w:tc>
      </w:tr>
      <w:tr>
        <w:trPr>
          <w:trHeight w:val="313" w:hRule="atLeast"/>
        </w:trPr>
        <w:tc>
          <w:tcPr>
            <w:tcW w:w="5086" w:type="dxa"/>
          </w:tcPr>
          <w:p>
            <w:pPr>
              <w:pStyle w:val="TableParagraph"/>
              <w:spacing w:line="198" w:lineRule="exact" w:before="96"/>
              <w:ind w:left="107"/>
              <w:rPr>
                <w:sz w:val="19"/>
              </w:rPr>
            </w:pPr>
            <w:r>
              <w:rPr>
                <w:sz w:val="19"/>
              </w:rPr>
              <w:t>Payment</w:t>
            </w:r>
            <w:r>
              <w:rPr>
                <w:spacing w:val="-9"/>
                <w:sz w:val="19"/>
              </w:rPr>
              <w:t> </w:t>
            </w:r>
            <w:r>
              <w:rPr>
                <w:spacing w:val="-4"/>
                <w:sz w:val="19"/>
              </w:rPr>
              <w:t>Plan</w:t>
            </w:r>
          </w:p>
        </w:tc>
        <w:tc>
          <w:tcPr>
            <w:tcW w:w="5086" w:type="dxa"/>
          </w:tcPr>
          <w:p>
            <w:pPr>
              <w:pStyle w:val="TableParagraph"/>
              <w:spacing w:line="198" w:lineRule="exact" w:before="96"/>
              <w:ind w:left="107"/>
              <w:rPr>
                <w:sz w:val="19"/>
              </w:rPr>
            </w:pPr>
            <w:r>
              <w:rPr>
                <w:sz w:val="19"/>
              </w:rPr>
              <w:t>$40.00/</w:t>
            </w:r>
            <w:r>
              <w:rPr>
                <w:spacing w:val="-5"/>
                <w:sz w:val="19"/>
              </w:rPr>
              <w:t> </w:t>
            </w:r>
            <w:r>
              <w:rPr>
                <w:sz w:val="19"/>
              </w:rPr>
              <w:t>two</w:t>
            </w:r>
            <w:r>
              <w:rPr>
                <w:spacing w:val="-3"/>
                <w:sz w:val="19"/>
              </w:rPr>
              <w:t> </w:t>
            </w:r>
            <w:r>
              <w:rPr>
                <w:spacing w:val="-2"/>
                <w:sz w:val="19"/>
              </w:rPr>
              <w:t>terms</w:t>
            </w:r>
          </w:p>
        </w:tc>
      </w:tr>
      <w:tr>
        <w:trPr>
          <w:trHeight w:val="314" w:hRule="atLeast"/>
        </w:trPr>
        <w:tc>
          <w:tcPr>
            <w:tcW w:w="5086" w:type="dxa"/>
          </w:tcPr>
          <w:p>
            <w:pPr>
              <w:pStyle w:val="TableParagraph"/>
              <w:spacing w:line="198" w:lineRule="exact" w:before="96"/>
              <w:ind w:left="107"/>
              <w:rPr>
                <w:sz w:val="19"/>
              </w:rPr>
            </w:pPr>
            <w:r>
              <w:rPr>
                <w:sz w:val="19"/>
              </w:rPr>
              <w:t>Late</w:t>
            </w:r>
            <w:r>
              <w:rPr>
                <w:spacing w:val="-5"/>
                <w:sz w:val="19"/>
              </w:rPr>
              <w:t> </w:t>
            </w:r>
            <w:r>
              <w:rPr>
                <w:sz w:val="19"/>
              </w:rPr>
              <w:t>Rent</w:t>
            </w:r>
            <w:r>
              <w:rPr>
                <w:spacing w:val="-4"/>
                <w:sz w:val="19"/>
              </w:rPr>
              <w:t> </w:t>
            </w:r>
            <w:r>
              <w:rPr>
                <w:spacing w:val="-2"/>
                <w:sz w:val="19"/>
              </w:rPr>
              <w:t>Payment</w:t>
            </w:r>
          </w:p>
        </w:tc>
        <w:tc>
          <w:tcPr>
            <w:tcW w:w="5086" w:type="dxa"/>
          </w:tcPr>
          <w:p>
            <w:pPr>
              <w:pStyle w:val="TableParagraph"/>
              <w:spacing w:line="198" w:lineRule="exact" w:before="96"/>
              <w:ind w:left="107"/>
              <w:rPr>
                <w:sz w:val="19"/>
              </w:rPr>
            </w:pPr>
            <w:r>
              <w:rPr>
                <w:spacing w:val="-2"/>
                <w:sz w:val="19"/>
              </w:rPr>
              <w:t>$50.00</w:t>
            </w:r>
          </w:p>
        </w:tc>
      </w:tr>
      <w:tr>
        <w:trPr>
          <w:trHeight w:val="316" w:hRule="atLeast"/>
        </w:trPr>
        <w:tc>
          <w:tcPr>
            <w:tcW w:w="5086" w:type="dxa"/>
          </w:tcPr>
          <w:p>
            <w:pPr>
              <w:pStyle w:val="TableParagraph"/>
              <w:spacing w:line="198" w:lineRule="exact" w:before="98"/>
              <w:ind w:left="107"/>
              <w:rPr>
                <w:sz w:val="19"/>
              </w:rPr>
            </w:pPr>
            <w:r>
              <w:rPr>
                <w:sz w:val="19"/>
              </w:rPr>
              <w:t>Late</w:t>
            </w:r>
            <w:r>
              <w:rPr>
                <w:spacing w:val="-7"/>
                <w:sz w:val="19"/>
              </w:rPr>
              <w:t> </w:t>
            </w:r>
            <w:r>
              <w:rPr>
                <w:sz w:val="19"/>
              </w:rPr>
              <w:t>Payment</w:t>
            </w:r>
            <w:r>
              <w:rPr>
                <w:spacing w:val="-7"/>
                <w:sz w:val="19"/>
              </w:rPr>
              <w:t> </w:t>
            </w:r>
            <w:r>
              <w:rPr>
                <w:sz w:val="19"/>
              </w:rPr>
              <w:t>on</w:t>
            </w:r>
            <w:r>
              <w:rPr>
                <w:spacing w:val="-6"/>
                <w:sz w:val="19"/>
              </w:rPr>
              <w:t> </w:t>
            </w:r>
            <w:r>
              <w:rPr>
                <w:color w:val="0101FF"/>
                <w:sz w:val="19"/>
              </w:rPr>
              <w:t>Monthly</w:t>
            </w:r>
            <w:r>
              <w:rPr>
                <w:color w:val="0101FF"/>
                <w:spacing w:val="-6"/>
                <w:sz w:val="19"/>
              </w:rPr>
              <w:t> </w:t>
            </w:r>
            <w:r>
              <w:rPr>
                <w:color w:val="0101FF"/>
                <w:sz w:val="19"/>
              </w:rPr>
              <w:t>Payment</w:t>
            </w:r>
            <w:r>
              <w:rPr>
                <w:color w:val="0101FF"/>
                <w:spacing w:val="-6"/>
                <w:sz w:val="19"/>
              </w:rPr>
              <w:t> </w:t>
            </w:r>
            <w:r>
              <w:rPr>
                <w:spacing w:val="-4"/>
                <w:sz w:val="19"/>
              </w:rPr>
              <w:t>Plan</w:t>
            </w:r>
          </w:p>
        </w:tc>
        <w:tc>
          <w:tcPr>
            <w:tcW w:w="5086" w:type="dxa"/>
          </w:tcPr>
          <w:p>
            <w:pPr>
              <w:pStyle w:val="TableParagraph"/>
              <w:spacing w:line="198" w:lineRule="exact" w:before="98"/>
              <w:ind w:left="107"/>
              <w:rPr>
                <w:sz w:val="19"/>
              </w:rPr>
            </w:pPr>
            <w:r>
              <w:rPr>
                <w:spacing w:val="-2"/>
                <w:sz w:val="19"/>
              </w:rPr>
              <w:t>$</w:t>
            </w:r>
            <w:r>
              <w:rPr>
                <w:strike/>
                <w:color w:val="0101FF"/>
                <w:spacing w:val="-2"/>
                <w:sz w:val="19"/>
              </w:rPr>
              <w:t>50.00</w:t>
            </w:r>
            <w:r>
              <w:rPr>
                <w:strike w:val="0"/>
                <w:color w:val="0101FF"/>
                <w:spacing w:val="-2"/>
                <w:sz w:val="19"/>
              </w:rPr>
              <w:t>35.00</w:t>
            </w:r>
          </w:p>
        </w:tc>
      </w:tr>
      <w:tr>
        <w:trPr>
          <w:trHeight w:val="313" w:hRule="atLeast"/>
        </w:trPr>
        <w:tc>
          <w:tcPr>
            <w:tcW w:w="5086" w:type="dxa"/>
          </w:tcPr>
          <w:p>
            <w:pPr>
              <w:pStyle w:val="TableParagraph"/>
              <w:spacing w:line="198" w:lineRule="exact" w:before="96"/>
              <w:ind w:left="107"/>
              <w:rPr>
                <w:sz w:val="19"/>
              </w:rPr>
            </w:pPr>
            <w:r>
              <w:rPr>
                <w:sz w:val="19"/>
              </w:rPr>
              <w:t>Cancellation</w:t>
            </w:r>
            <w:r>
              <w:rPr>
                <w:spacing w:val="-11"/>
                <w:sz w:val="19"/>
              </w:rPr>
              <w:t> </w:t>
            </w:r>
            <w:r>
              <w:rPr>
                <w:spacing w:val="-4"/>
                <w:sz w:val="19"/>
              </w:rPr>
              <w:t>Fees</w:t>
            </w:r>
          </w:p>
        </w:tc>
        <w:tc>
          <w:tcPr>
            <w:tcW w:w="5086" w:type="dxa"/>
          </w:tcPr>
          <w:p>
            <w:pPr>
              <w:pStyle w:val="TableParagraph"/>
              <w:spacing w:line="198" w:lineRule="exact" w:before="96"/>
              <w:ind w:left="107"/>
              <w:rPr>
                <w:sz w:val="19"/>
              </w:rPr>
            </w:pPr>
            <w:r>
              <w:rPr>
                <w:sz w:val="19"/>
              </w:rPr>
              <w:t>$300.00+</w:t>
            </w:r>
            <w:r>
              <w:rPr>
                <w:spacing w:val="37"/>
                <w:sz w:val="19"/>
              </w:rPr>
              <w:t> </w:t>
            </w:r>
            <w:r>
              <w:rPr>
                <w:sz w:val="19"/>
              </w:rPr>
              <w:t>pro-</w:t>
            </w:r>
            <w:r>
              <w:rPr>
                <w:spacing w:val="-6"/>
                <w:sz w:val="19"/>
              </w:rPr>
              <w:t> </w:t>
            </w:r>
            <w:r>
              <w:rPr>
                <w:sz w:val="19"/>
              </w:rPr>
              <w:t>rated</w:t>
            </w:r>
            <w:r>
              <w:rPr>
                <w:spacing w:val="-3"/>
                <w:sz w:val="19"/>
              </w:rPr>
              <w:t> </w:t>
            </w:r>
            <w:r>
              <w:rPr>
                <w:sz w:val="19"/>
              </w:rPr>
              <w:t>rental</w:t>
            </w:r>
            <w:r>
              <w:rPr>
                <w:spacing w:val="-5"/>
                <w:sz w:val="19"/>
              </w:rPr>
              <w:t> </w:t>
            </w:r>
            <w:r>
              <w:rPr>
                <w:spacing w:val="-2"/>
                <w:sz w:val="19"/>
              </w:rPr>
              <w:t>charges</w:t>
            </w:r>
          </w:p>
        </w:tc>
      </w:tr>
      <w:tr>
        <w:trPr>
          <w:trHeight w:val="313" w:hRule="atLeast"/>
        </w:trPr>
        <w:tc>
          <w:tcPr>
            <w:tcW w:w="5086" w:type="dxa"/>
          </w:tcPr>
          <w:p>
            <w:pPr>
              <w:pStyle w:val="TableParagraph"/>
              <w:spacing w:line="198" w:lineRule="exact" w:before="96"/>
              <w:ind w:left="107"/>
              <w:rPr>
                <w:sz w:val="19"/>
              </w:rPr>
            </w:pPr>
            <w:r>
              <w:rPr>
                <w:sz w:val="19"/>
              </w:rPr>
              <w:t>Prepaid</w:t>
            </w:r>
            <w:r>
              <w:rPr>
                <w:spacing w:val="-5"/>
                <w:sz w:val="19"/>
              </w:rPr>
              <w:t> </w:t>
            </w:r>
            <w:r>
              <w:rPr>
                <w:sz w:val="19"/>
              </w:rPr>
              <w:t>Rent</w:t>
            </w:r>
            <w:r>
              <w:rPr>
                <w:spacing w:val="-6"/>
                <w:sz w:val="19"/>
              </w:rPr>
              <w:t> </w:t>
            </w:r>
            <w:r>
              <w:rPr>
                <w:spacing w:val="-2"/>
                <w:sz w:val="19"/>
              </w:rPr>
              <w:t>Forfeit</w:t>
            </w:r>
          </w:p>
        </w:tc>
        <w:tc>
          <w:tcPr>
            <w:tcW w:w="5086" w:type="dxa"/>
          </w:tcPr>
          <w:p>
            <w:pPr>
              <w:pStyle w:val="TableParagraph"/>
              <w:spacing w:line="198" w:lineRule="exact" w:before="96"/>
              <w:ind w:left="107"/>
              <w:rPr>
                <w:sz w:val="19"/>
              </w:rPr>
            </w:pPr>
            <w:r>
              <w:rPr>
                <w:spacing w:val="-2"/>
                <w:sz w:val="19"/>
              </w:rPr>
              <w:t>$100.00</w:t>
            </w:r>
          </w:p>
        </w:tc>
      </w:tr>
    </w:tbl>
    <w:p>
      <w:pPr>
        <w:spacing w:after="0" w:line="198" w:lineRule="exact"/>
        <w:rPr>
          <w:sz w:val="19"/>
        </w:rPr>
        <w:sectPr>
          <w:pgSz w:w="12240" w:h="15840"/>
          <w:pgMar w:top="1480" w:bottom="280" w:left="800" w:right="1020"/>
        </w:sect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86"/>
        <w:gridCol w:w="5086"/>
      </w:tblGrid>
      <w:tr>
        <w:trPr>
          <w:trHeight w:val="313" w:hRule="atLeast"/>
        </w:trPr>
        <w:tc>
          <w:tcPr>
            <w:tcW w:w="5086" w:type="dxa"/>
          </w:tcPr>
          <w:p>
            <w:pPr>
              <w:pStyle w:val="TableParagraph"/>
              <w:spacing w:line="198" w:lineRule="exact" w:before="96"/>
              <w:ind w:left="2343" w:right="2337"/>
              <w:jc w:val="center"/>
              <w:rPr>
                <w:b/>
                <w:sz w:val="19"/>
              </w:rPr>
            </w:pPr>
            <w:r>
              <w:rPr>
                <w:b/>
                <w:spacing w:val="-5"/>
                <w:sz w:val="19"/>
              </w:rPr>
              <w:t>FEE</w:t>
            </w:r>
          </w:p>
        </w:tc>
        <w:tc>
          <w:tcPr>
            <w:tcW w:w="5086" w:type="dxa"/>
          </w:tcPr>
          <w:p>
            <w:pPr>
              <w:pStyle w:val="TableParagraph"/>
              <w:spacing w:line="198" w:lineRule="exact" w:before="96"/>
              <w:ind w:left="2343" w:right="2337"/>
              <w:jc w:val="center"/>
              <w:rPr>
                <w:b/>
                <w:sz w:val="19"/>
              </w:rPr>
            </w:pPr>
            <w:r>
              <w:rPr>
                <w:b/>
                <w:spacing w:val="-4"/>
                <w:sz w:val="19"/>
              </w:rPr>
              <w:t>Cost</w:t>
            </w:r>
          </w:p>
        </w:tc>
      </w:tr>
      <w:tr>
        <w:trPr>
          <w:trHeight w:val="314" w:hRule="atLeast"/>
        </w:trPr>
        <w:tc>
          <w:tcPr>
            <w:tcW w:w="5086" w:type="dxa"/>
          </w:tcPr>
          <w:p>
            <w:pPr>
              <w:pStyle w:val="TableParagraph"/>
              <w:spacing w:line="198" w:lineRule="exact" w:before="96"/>
              <w:ind w:left="107"/>
              <w:rPr>
                <w:sz w:val="19"/>
              </w:rPr>
            </w:pPr>
            <w:r>
              <w:rPr>
                <w:sz w:val="19"/>
              </w:rPr>
              <w:t>Lock</w:t>
            </w:r>
            <w:r>
              <w:rPr>
                <w:spacing w:val="-2"/>
                <w:sz w:val="19"/>
              </w:rPr>
              <w:t> </w:t>
            </w:r>
            <w:r>
              <w:rPr>
                <w:sz w:val="19"/>
              </w:rPr>
              <w:t>out</w:t>
            </w:r>
            <w:r>
              <w:rPr>
                <w:spacing w:val="-5"/>
                <w:sz w:val="19"/>
              </w:rPr>
              <w:t> Fee</w:t>
            </w:r>
          </w:p>
        </w:tc>
        <w:tc>
          <w:tcPr>
            <w:tcW w:w="5086" w:type="dxa"/>
          </w:tcPr>
          <w:p>
            <w:pPr>
              <w:pStyle w:val="TableParagraph"/>
              <w:spacing w:line="198" w:lineRule="exact" w:before="96"/>
              <w:ind w:left="107"/>
              <w:rPr>
                <w:sz w:val="19"/>
              </w:rPr>
            </w:pPr>
            <w:r>
              <w:rPr>
                <w:spacing w:val="-2"/>
                <w:sz w:val="19"/>
              </w:rPr>
              <w:t>$10.00</w:t>
            </w:r>
          </w:p>
        </w:tc>
      </w:tr>
      <w:tr>
        <w:trPr>
          <w:trHeight w:val="316" w:hRule="atLeast"/>
        </w:trPr>
        <w:tc>
          <w:tcPr>
            <w:tcW w:w="5086" w:type="dxa"/>
          </w:tcPr>
          <w:p>
            <w:pPr>
              <w:pStyle w:val="TableParagraph"/>
              <w:spacing w:line="198" w:lineRule="exact" w:before="98"/>
              <w:ind w:left="107"/>
              <w:rPr>
                <w:sz w:val="19"/>
              </w:rPr>
            </w:pPr>
            <w:r>
              <w:rPr>
                <w:color w:val="C00000"/>
                <w:sz w:val="19"/>
              </w:rPr>
              <w:t>Lost</w:t>
            </w:r>
            <w:r>
              <w:rPr>
                <w:color w:val="C00000"/>
                <w:spacing w:val="-5"/>
                <w:sz w:val="19"/>
              </w:rPr>
              <w:t> </w:t>
            </w:r>
            <w:r>
              <w:rPr>
                <w:color w:val="C00000"/>
                <w:sz w:val="19"/>
              </w:rPr>
              <w:t>key/</w:t>
            </w:r>
            <w:r>
              <w:rPr>
                <w:color w:val="C00000"/>
                <w:spacing w:val="-6"/>
                <w:sz w:val="19"/>
              </w:rPr>
              <w:t> </w:t>
            </w:r>
            <w:r>
              <w:rPr>
                <w:color w:val="C00000"/>
                <w:sz w:val="19"/>
              </w:rPr>
              <w:t>Cylinder</w:t>
            </w:r>
            <w:r>
              <w:rPr>
                <w:color w:val="C00000"/>
                <w:spacing w:val="-6"/>
                <w:sz w:val="19"/>
              </w:rPr>
              <w:t> </w:t>
            </w:r>
            <w:r>
              <w:rPr>
                <w:color w:val="C00000"/>
                <w:spacing w:val="-2"/>
                <w:sz w:val="19"/>
              </w:rPr>
              <w:t>Change</w:t>
            </w:r>
          </w:p>
        </w:tc>
        <w:tc>
          <w:tcPr>
            <w:tcW w:w="5086" w:type="dxa"/>
          </w:tcPr>
          <w:p>
            <w:pPr>
              <w:pStyle w:val="TableParagraph"/>
              <w:spacing w:line="198" w:lineRule="exact" w:before="98"/>
              <w:ind w:left="107"/>
              <w:rPr>
                <w:sz w:val="19"/>
              </w:rPr>
            </w:pPr>
            <w:r>
              <w:rPr>
                <w:color w:val="C00000"/>
                <w:spacing w:val="-2"/>
                <w:sz w:val="19"/>
              </w:rPr>
              <w:t>$40.00</w:t>
            </w:r>
          </w:p>
        </w:tc>
      </w:tr>
      <w:tr>
        <w:trPr>
          <w:trHeight w:val="313" w:hRule="atLeast"/>
        </w:trPr>
        <w:tc>
          <w:tcPr>
            <w:tcW w:w="5086" w:type="dxa"/>
          </w:tcPr>
          <w:p>
            <w:pPr>
              <w:pStyle w:val="TableParagraph"/>
              <w:spacing w:line="198" w:lineRule="exact" w:before="96"/>
              <w:ind w:left="107"/>
              <w:rPr>
                <w:sz w:val="19"/>
              </w:rPr>
            </w:pPr>
            <w:r>
              <w:rPr>
                <w:color w:val="C00000"/>
                <w:sz w:val="19"/>
              </w:rPr>
              <w:t>Miscellaneous</w:t>
            </w:r>
            <w:r>
              <w:rPr>
                <w:color w:val="C00000"/>
                <w:spacing w:val="-8"/>
                <w:sz w:val="19"/>
              </w:rPr>
              <w:t> </w:t>
            </w:r>
            <w:r>
              <w:rPr>
                <w:color w:val="C00000"/>
                <w:sz w:val="19"/>
              </w:rPr>
              <w:t>(Cleaning</w:t>
            </w:r>
            <w:r>
              <w:rPr>
                <w:color w:val="C00000"/>
                <w:spacing w:val="-7"/>
                <w:sz w:val="19"/>
              </w:rPr>
              <w:t> </w:t>
            </w:r>
            <w:r>
              <w:rPr>
                <w:color w:val="C00000"/>
                <w:sz w:val="19"/>
              </w:rPr>
              <w:t>or</w:t>
            </w:r>
            <w:r>
              <w:rPr>
                <w:color w:val="C00000"/>
                <w:spacing w:val="-10"/>
                <w:sz w:val="19"/>
              </w:rPr>
              <w:t> </w:t>
            </w:r>
            <w:r>
              <w:rPr>
                <w:color w:val="C00000"/>
                <w:spacing w:val="-2"/>
                <w:sz w:val="19"/>
              </w:rPr>
              <w:t>Damage)</w:t>
            </w:r>
          </w:p>
        </w:tc>
        <w:tc>
          <w:tcPr>
            <w:tcW w:w="5086" w:type="dxa"/>
          </w:tcPr>
          <w:p>
            <w:pPr>
              <w:pStyle w:val="TableParagraph"/>
              <w:spacing w:line="198" w:lineRule="exact" w:before="96"/>
              <w:ind w:left="107"/>
              <w:rPr>
                <w:sz w:val="19"/>
              </w:rPr>
            </w:pPr>
            <w:r>
              <w:rPr>
                <w:color w:val="C00000"/>
                <w:spacing w:val="-4"/>
                <w:sz w:val="19"/>
              </w:rPr>
              <w:t>$COST</w:t>
            </w:r>
          </w:p>
        </w:tc>
      </w:tr>
    </w:tbl>
    <w:p>
      <w:pPr>
        <w:pStyle w:val="BodyText"/>
        <w:rPr>
          <w:sz w:val="20"/>
        </w:rPr>
      </w:pPr>
    </w:p>
    <w:p>
      <w:pPr>
        <w:pStyle w:val="BodyText"/>
        <w:rPr>
          <w:sz w:val="20"/>
        </w:rPr>
      </w:pPr>
    </w:p>
    <w:p>
      <w:pPr>
        <w:pStyle w:val="BodyText"/>
        <w:spacing w:before="6"/>
        <w:rPr>
          <w:sz w:val="20"/>
        </w:rPr>
      </w:pPr>
    </w:p>
    <w:p>
      <w:pPr>
        <w:pStyle w:val="ListParagraph"/>
        <w:numPr>
          <w:ilvl w:val="0"/>
          <w:numId w:val="3"/>
        </w:numPr>
        <w:tabs>
          <w:tab w:pos="1530" w:val="left" w:leader="none"/>
          <w:tab w:pos="1531" w:val="left" w:leader="none"/>
        </w:tabs>
        <w:spacing w:line="491" w:lineRule="auto" w:before="0" w:after="0"/>
        <w:ind w:left="366" w:right="2819" w:firstLine="580"/>
        <w:jc w:val="left"/>
        <w:rPr>
          <w:sz w:val="19"/>
        </w:rPr>
      </w:pPr>
      <w:r>
        <w:rPr>
          <w:sz w:val="19"/>
        </w:rPr>
        <w:t>Returned</w:t>
      </w:r>
      <w:r>
        <w:rPr>
          <w:spacing w:val="-3"/>
          <w:sz w:val="19"/>
        </w:rPr>
        <w:t> </w:t>
      </w:r>
      <w:r>
        <w:rPr>
          <w:sz w:val="19"/>
        </w:rPr>
        <w:t>Check</w:t>
      </w:r>
      <w:r>
        <w:rPr>
          <w:spacing w:val="-3"/>
          <w:sz w:val="19"/>
        </w:rPr>
        <w:t> </w:t>
      </w:r>
      <w:r>
        <w:rPr>
          <w:sz w:val="19"/>
        </w:rPr>
        <w:t>Fee</w:t>
      </w:r>
      <w:r>
        <w:rPr>
          <w:spacing w:val="-4"/>
          <w:sz w:val="19"/>
        </w:rPr>
        <w:t> </w:t>
      </w:r>
      <w:r>
        <w:rPr>
          <w:sz w:val="19"/>
        </w:rPr>
        <w:t>–</w:t>
      </w:r>
      <w:r>
        <w:rPr>
          <w:spacing w:val="-3"/>
          <w:sz w:val="19"/>
        </w:rPr>
        <w:t> </w:t>
      </w:r>
      <w:r>
        <w:rPr>
          <w:sz w:val="19"/>
        </w:rPr>
        <w:t>The</w:t>
      </w:r>
      <w:r>
        <w:rPr>
          <w:spacing w:val="-4"/>
          <w:sz w:val="19"/>
        </w:rPr>
        <w:t> </w:t>
      </w:r>
      <w:r>
        <w:rPr>
          <w:sz w:val="19"/>
        </w:rPr>
        <w:t>University</w:t>
      </w:r>
      <w:r>
        <w:rPr>
          <w:spacing w:val="-3"/>
          <w:sz w:val="19"/>
        </w:rPr>
        <w:t> </w:t>
      </w:r>
      <w:r>
        <w:rPr>
          <w:sz w:val="19"/>
        </w:rPr>
        <w:t>will</w:t>
      </w:r>
      <w:r>
        <w:rPr>
          <w:spacing w:val="-4"/>
          <w:sz w:val="19"/>
        </w:rPr>
        <w:t> </w:t>
      </w:r>
      <w:r>
        <w:rPr>
          <w:sz w:val="19"/>
        </w:rPr>
        <w:t>assess</w:t>
      </w:r>
      <w:r>
        <w:rPr>
          <w:spacing w:val="-3"/>
          <w:sz w:val="19"/>
        </w:rPr>
        <w:t> </w:t>
      </w:r>
      <w:r>
        <w:rPr>
          <w:sz w:val="19"/>
        </w:rPr>
        <w:t>a</w:t>
      </w:r>
      <w:r>
        <w:rPr>
          <w:spacing w:val="-7"/>
          <w:sz w:val="19"/>
        </w:rPr>
        <w:t> </w:t>
      </w:r>
      <w:r>
        <w:rPr>
          <w:sz w:val="19"/>
        </w:rPr>
        <w:t>service</w:t>
      </w:r>
      <w:r>
        <w:rPr>
          <w:spacing w:val="-4"/>
          <w:sz w:val="19"/>
        </w:rPr>
        <w:t> </w:t>
      </w:r>
      <w:r>
        <w:rPr>
          <w:sz w:val="19"/>
        </w:rPr>
        <w:t>charge</w:t>
      </w:r>
      <w:r>
        <w:rPr>
          <w:spacing w:val="-4"/>
          <w:sz w:val="19"/>
        </w:rPr>
        <w:t> </w:t>
      </w:r>
      <w:r>
        <w:rPr>
          <w:sz w:val="19"/>
        </w:rPr>
        <w:t>as</w:t>
      </w:r>
      <w:r>
        <w:rPr>
          <w:spacing w:val="-3"/>
          <w:sz w:val="19"/>
        </w:rPr>
        <w:t> </w:t>
      </w:r>
      <w:r>
        <w:rPr>
          <w:sz w:val="19"/>
        </w:rPr>
        <w:t>authorized by Section 832.07(1), F.S., for unpaid checks returned to the</w:t>
      </w:r>
      <w:r>
        <w:rPr>
          <w:spacing w:val="40"/>
          <w:sz w:val="19"/>
        </w:rPr>
        <w:t> </w:t>
      </w:r>
      <w:r>
        <w:rPr>
          <w:sz w:val="19"/>
        </w:rPr>
        <w:t>university.</w:t>
      </w:r>
    </w:p>
    <w:p>
      <w:pPr>
        <w:pStyle w:val="ListParagraph"/>
        <w:numPr>
          <w:ilvl w:val="0"/>
          <w:numId w:val="3"/>
        </w:numPr>
        <w:tabs>
          <w:tab w:pos="1530" w:val="left" w:leader="none"/>
          <w:tab w:pos="1531" w:val="left" w:leader="none"/>
        </w:tabs>
        <w:spacing w:line="491" w:lineRule="auto" w:before="0" w:after="0"/>
        <w:ind w:left="366" w:right="2840" w:firstLine="580"/>
        <w:jc w:val="left"/>
        <w:rPr>
          <w:sz w:val="19"/>
        </w:rPr>
      </w:pPr>
      <w:r>
        <w:rPr>
          <w:sz w:val="19"/>
        </w:rPr>
        <w:t>Collection Costs – The University will assess a charge representing reasonable cost of collection efforts to effect payment for overdue accounts. Collection costs will be assessed</w:t>
      </w:r>
      <w:r>
        <w:rPr>
          <w:spacing w:val="-2"/>
          <w:sz w:val="19"/>
        </w:rPr>
        <w:t> </w:t>
      </w:r>
      <w:r>
        <w:rPr>
          <w:sz w:val="19"/>
        </w:rPr>
        <w:t>to</w:t>
      </w:r>
      <w:r>
        <w:rPr>
          <w:spacing w:val="-3"/>
          <w:sz w:val="19"/>
        </w:rPr>
        <w:t> </w:t>
      </w:r>
      <w:r>
        <w:rPr>
          <w:sz w:val="19"/>
        </w:rPr>
        <w:t>the</w:t>
      </w:r>
      <w:r>
        <w:rPr>
          <w:spacing w:val="-2"/>
          <w:sz w:val="19"/>
        </w:rPr>
        <w:t> </w:t>
      </w:r>
      <w:r>
        <w:rPr>
          <w:sz w:val="19"/>
        </w:rPr>
        <w:t>student</w:t>
      </w:r>
      <w:r>
        <w:rPr>
          <w:spacing w:val="-4"/>
          <w:sz w:val="19"/>
        </w:rPr>
        <w:t> </w:t>
      </w:r>
      <w:r>
        <w:rPr>
          <w:sz w:val="19"/>
        </w:rPr>
        <w:t>for</w:t>
      </w:r>
      <w:r>
        <w:rPr>
          <w:spacing w:val="-3"/>
          <w:sz w:val="19"/>
        </w:rPr>
        <w:t> </w:t>
      </w:r>
      <w:r>
        <w:rPr>
          <w:sz w:val="19"/>
        </w:rPr>
        <w:t>collection</w:t>
      </w:r>
      <w:r>
        <w:rPr>
          <w:spacing w:val="-2"/>
          <w:sz w:val="19"/>
        </w:rPr>
        <w:t> </w:t>
      </w:r>
      <w:r>
        <w:rPr>
          <w:sz w:val="19"/>
        </w:rPr>
        <w:t>of</w:t>
      </w:r>
      <w:r>
        <w:rPr>
          <w:spacing w:val="-5"/>
          <w:sz w:val="19"/>
        </w:rPr>
        <w:t> </w:t>
      </w:r>
      <w:r>
        <w:rPr>
          <w:sz w:val="19"/>
        </w:rPr>
        <w:t>debts</w:t>
      </w:r>
      <w:r>
        <w:rPr>
          <w:spacing w:val="-4"/>
          <w:sz w:val="19"/>
        </w:rPr>
        <w:t> </w:t>
      </w:r>
      <w:r>
        <w:rPr>
          <w:sz w:val="19"/>
        </w:rPr>
        <w:t>owed</w:t>
      </w:r>
      <w:r>
        <w:rPr>
          <w:spacing w:val="-2"/>
          <w:sz w:val="19"/>
        </w:rPr>
        <w:t> </w:t>
      </w:r>
      <w:r>
        <w:rPr>
          <w:sz w:val="19"/>
        </w:rPr>
        <w:t>the</w:t>
      </w:r>
      <w:r>
        <w:rPr>
          <w:spacing w:val="-2"/>
          <w:sz w:val="19"/>
        </w:rPr>
        <w:t> </w:t>
      </w:r>
      <w:r>
        <w:rPr>
          <w:sz w:val="19"/>
        </w:rPr>
        <w:t>University</w:t>
      </w:r>
      <w:r>
        <w:rPr>
          <w:spacing w:val="-2"/>
          <w:sz w:val="19"/>
        </w:rPr>
        <w:t> </w:t>
      </w:r>
      <w:r>
        <w:rPr>
          <w:sz w:val="19"/>
        </w:rPr>
        <w:t>not</w:t>
      </w:r>
      <w:r>
        <w:rPr>
          <w:spacing w:val="-4"/>
          <w:sz w:val="19"/>
        </w:rPr>
        <w:t> </w:t>
      </w:r>
      <w:r>
        <w:rPr>
          <w:sz w:val="19"/>
        </w:rPr>
        <w:t>secured</w:t>
      </w:r>
      <w:r>
        <w:rPr>
          <w:spacing w:val="-3"/>
          <w:sz w:val="19"/>
        </w:rPr>
        <w:t> </w:t>
      </w:r>
      <w:r>
        <w:rPr>
          <w:sz w:val="19"/>
        </w:rPr>
        <w:t>by</w:t>
      </w:r>
      <w:r>
        <w:rPr>
          <w:spacing w:val="-2"/>
          <w:sz w:val="19"/>
        </w:rPr>
        <w:t> </w:t>
      </w:r>
      <w:r>
        <w:rPr>
          <w:sz w:val="19"/>
        </w:rPr>
        <w:t>a</w:t>
      </w:r>
      <w:r>
        <w:rPr>
          <w:spacing w:val="-5"/>
          <w:sz w:val="19"/>
        </w:rPr>
        <w:t> </w:t>
      </w:r>
      <w:r>
        <w:rPr>
          <w:sz w:val="19"/>
        </w:rPr>
        <w:t>promissory note or contract.</w:t>
      </w:r>
    </w:p>
    <w:p>
      <w:pPr>
        <w:pStyle w:val="ListParagraph"/>
        <w:numPr>
          <w:ilvl w:val="0"/>
          <w:numId w:val="3"/>
        </w:numPr>
        <w:tabs>
          <w:tab w:pos="1530" w:val="left" w:leader="none"/>
          <w:tab w:pos="1531" w:val="left" w:leader="none"/>
        </w:tabs>
        <w:spacing w:line="489" w:lineRule="auto" w:before="0" w:after="0"/>
        <w:ind w:left="366" w:right="3013" w:firstLine="580"/>
        <w:jc w:val="left"/>
        <w:rPr>
          <w:sz w:val="19"/>
        </w:rPr>
      </w:pPr>
      <w:r>
        <w:rPr>
          <w:sz w:val="19"/>
        </w:rPr>
        <w:t>Loan</w:t>
      </w:r>
      <w:r>
        <w:rPr>
          <w:spacing w:val="-3"/>
          <w:sz w:val="19"/>
        </w:rPr>
        <w:t> </w:t>
      </w:r>
      <w:r>
        <w:rPr>
          <w:sz w:val="19"/>
        </w:rPr>
        <w:t>Service</w:t>
      </w:r>
      <w:r>
        <w:rPr>
          <w:spacing w:val="-3"/>
          <w:sz w:val="19"/>
        </w:rPr>
        <w:t> </w:t>
      </w:r>
      <w:r>
        <w:rPr>
          <w:sz w:val="19"/>
        </w:rPr>
        <w:t>Charge</w:t>
      </w:r>
      <w:r>
        <w:rPr>
          <w:spacing w:val="-3"/>
          <w:sz w:val="19"/>
        </w:rPr>
        <w:t> </w:t>
      </w:r>
      <w:r>
        <w:rPr>
          <w:sz w:val="19"/>
        </w:rPr>
        <w:t>–</w:t>
      </w:r>
      <w:r>
        <w:rPr>
          <w:spacing w:val="-4"/>
          <w:sz w:val="19"/>
        </w:rPr>
        <w:t> </w:t>
      </w:r>
      <w:r>
        <w:rPr>
          <w:sz w:val="19"/>
        </w:rPr>
        <w:t>The</w:t>
      </w:r>
      <w:r>
        <w:rPr>
          <w:spacing w:val="-3"/>
          <w:sz w:val="19"/>
        </w:rPr>
        <w:t> </w:t>
      </w:r>
      <w:r>
        <w:rPr>
          <w:sz w:val="19"/>
        </w:rPr>
        <w:t>University</w:t>
      </w:r>
      <w:r>
        <w:rPr>
          <w:spacing w:val="-3"/>
          <w:sz w:val="19"/>
        </w:rPr>
        <w:t> </w:t>
      </w:r>
      <w:r>
        <w:rPr>
          <w:sz w:val="19"/>
        </w:rPr>
        <w:t>will</w:t>
      </w:r>
      <w:r>
        <w:rPr>
          <w:spacing w:val="-3"/>
          <w:sz w:val="19"/>
        </w:rPr>
        <w:t> </w:t>
      </w:r>
      <w:r>
        <w:rPr>
          <w:sz w:val="19"/>
        </w:rPr>
        <w:t>assess</w:t>
      </w:r>
      <w:r>
        <w:rPr>
          <w:spacing w:val="-3"/>
          <w:sz w:val="19"/>
        </w:rPr>
        <w:t> </w:t>
      </w:r>
      <w:r>
        <w:rPr>
          <w:sz w:val="19"/>
        </w:rPr>
        <w:t>a</w:t>
      </w:r>
      <w:r>
        <w:rPr>
          <w:spacing w:val="-6"/>
          <w:sz w:val="19"/>
        </w:rPr>
        <w:t> </w:t>
      </w:r>
      <w:r>
        <w:rPr>
          <w:sz w:val="19"/>
        </w:rPr>
        <w:t>$10.00</w:t>
      </w:r>
      <w:r>
        <w:rPr>
          <w:spacing w:val="-3"/>
          <w:sz w:val="19"/>
        </w:rPr>
        <w:t> </w:t>
      </w:r>
      <w:r>
        <w:rPr>
          <w:sz w:val="19"/>
        </w:rPr>
        <w:t>service</w:t>
      </w:r>
      <w:r>
        <w:rPr>
          <w:spacing w:val="-3"/>
          <w:sz w:val="19"/>
        </w:rPr>
        <w:t> </w:t>
      </w:r>
      <w:r>
        <w:rPr>
          <w:sz w:val="19"/>
        </w:rPr>
        <w:t>charge</w:t>
      </w:r>
      <w:r>
        <w:rPr>
          <w:spacing w:val="-3"/>
          <w:sz w:val="19"/>
        </w:rPr>
        <w:t> </w:t>
      </w:r>
      <w:r>
        <w:rPr>
          <w:sz w:val="19"/>
        </w:rPr>
        <w:t>on University loans in lieu of interest and administrative handling.</w:t>
      </w:r>
    </w:p>
    <w:p>
      <w:pPr>
        <w:pStyle w:val="ListParagraph"/>
        <w:numPr>
          <w:ilvl w:val="0"/>
          <w:numId w:val="3"/>
        </w:numPr>
        <w:tabs>
          <w:tab w:pos="1530" w:val="left" w:leader="none"/>
          <w:tab w:pos="1531" w:val="left" w:leader="none"/>
        </w:tabs>
        <w:spacing w:line="491" w:lineRule="auto" w:before="0" w:after="0"/>
        <w:ind w:left="366" w:right="2744" w:firstLine="580"/>
        <w:jc w:val="left"/>
        <w:rPr>
          <w:sz w:val="19"/>
        </w:rPr>
      </w:pPr>
      <w:r>
        <w:rPr>
          <w:sz w:val="19"/>
        </w:rPr>
        <w:t>Education Research Center for Child Development Fee – Pursuant to Section 1011.48, F.S., the University of North Florida Child Development Research Center will charge fees</w:t>
      </w:r>
      <w:r>
        <w:rPr>
          <w:spacing w:val="-2"/>
          <w:sz w:val="19"/>
        </w:rPr>
        <w:t> </w:t>
      </w:r>
      <w:r>
        <w:rPr>
          <w:sz w:val="19"/>
        </w:rPr>
        <w:t>for</w:t>
      </w:r>
      <w:r>
        <w:rPr>
          <w:spacing w:val="-4"/>
          <w:sz w:val="19"/>
        </w:rPr>
        <w:t> </w:t>
      </w:r>
      <w:r>
        <w:rPr>
          <w:sz w:val="19"/>
        </w:rPr>
        <w:t>the</w:t>
      </w:r>
      <w:r>
        <w:rPr>
          <w:spacing w:val="-3"/>
          <w:sz w:val="19"/>
        </w:rPr>
        <w:t> </w:t>
      </w:r>
      <w:r>
        <w:rPr>
          <w:sz w:val="19"/>
        </w:rPr>
        <w:t>care</w:t>
      </w:r>
      <w:r>
        <w:rPr>
          <w:spacing w:val="-3"/>
          <w:sz w:val="19"/>
        </w:rPr>
        <w:t> </w:t>
      </w:r>
      <w:r>
        <w:rPr>
          <w:sz w:val="19"/>
        </w:rPr>
        <w:t>and</w:t>
      </w:r>
      <w:r>
        <w:rPr>
          <w:spacing w:val="-2"/>
          <w:sz w:val="19"/>
        </w:rPr>
        <w:t> </w:t>
      </w:r>
      <w:r>
        <w:rPr>
          <w:sz w:val="19"/>
        </w:rPr>
        <w:t>services</w:t>
      </w:r>
      <w:r>
        <w:rPr>
          <w:spacing w:val="-2"/>
          <w:sz w:val="19"/>
        </w:rPr>
        <w:t> </w:t>
      </w:r>
      <w:r>
        <w:rPr>
          <w:sz w:val="19"/>
        </w:rPr>
        <w:t>it</w:t>
      </w:r>
      <w:r>
        <w:rPr>
          <w:spacing w:val="-5"/>
          <w:sz w:val="19"/>
        </w:rPr>
        <w:t> </w:t>
      </w:r>
      <w:r>
        <w:rPr>
          <w:sz w:val="19"/>
        </w:rPr>
        <w:t>provides.</w:t>
      </w:r>
      <w:r>
        <w:rPr>
          <w:spacing w:val="-2"/>
          <w:sz w:val="19"/>
        </w:rPr>
        <w:t> </w:t>
      </w:r>
      <w:r>
        <w:rPr>
          <w:sz w:val="19"/>
        </w:rPr>
        <w:t>Such</w:t>
      </w:r>
      <w:r>
        <w:rPr>
          <w:spacing w:val="-4"/>
          <w:sz w:val="19"/>
        </w:rPr>
        <w:t> </w:t>
      </w:r>
      <w:r>
        <w:rPr>
          <w:sz w:val="19"/>
        </w:rPr>
        <w:t>fees</w:t>
      </w:r>
      <w:r>
        <w:rPr>
          <w:spacing w:val="-2"/>
          <w:sz w:val="19"/>
        </w:rPr>
        <w:t> </w:t>
      </w:r>
      <w:r>
        <w:rPr>
          <w:sz w:val="19"/>
        </w:rPr>
        <w:t>may</w:t>
      </w:r>
      <w:r>
        <w:rPr>
          <w:spacing w:val="-2"/>
          <w:sz w:val="19"/>
        </w:rPr>
        <w:t> </w:t>
      </w:r>
      <w:r>
        <w:rPr>
          <w:sz w:val="19"/>
        </w:rPr>
        <w:t>be</w:t>
      </w:r>
      <w:r>
        <w:rPr>
          <w:spacing w:val="-3"/>
          <w:sz w:val="19"/>
        </w:rPr>
        <w:t> </w:t>
      </w:r>
      <w:r>
        <w:rPr>
          <w:sz w:val="19"/>
        </w:rPr>
        <w:t>imposed</w:t>
      </w:r>
      <w:r>
        <w:rPr>
          <w:spacing w:val="-2"/>
          <w:sz w:val="19"/>
        </w:rPr>
        <w:t> </w:t>
      </w:r>
      <w:r>
        <w:rPr>
          <w:sz w:val="19"/>
        </w:rPr>
        <w:t>on</w:t>
      </w:r>
      <w:r>
        <w:rPr>
          <w:spacing w:val="-2"/>
          <w:sz w:val="19"/>
        </w:rPr>
        <w:t> </w:t>
      </w:r>
      <w:r>
        <w:rPr>
          <w:sz w:val="19"/>
        </w:rPr>
        <w:t>a</w:t>
      </w:r>
      <w:r>
        <w:rPr>
          <w:spacing w:val="-3"/>
          <w:sz w:val="19"/>
        </w:rPr>
        <w:t> </w:t>
      </w:r>
      <w:r>
        <w:rPr>
          <w:sz w:val="19"/>
        </w:rPr>
        <w:t>sliding</w:t>
      </w:r>
      <w:r>
        <w:rPr>
          <w:spacing w:val="-2"/>
          <w:sz w:val="19"/>
        </w:rPr>
        <w:t> </w:t>
      </w:r>
      <w:r>
        <w:rPr>
          <w:sz w:val="19"/>
        </w:rPr>
        <w:t>scale</w:t>
      </w:r>
      <w:r>
        <w:rPr>
          <w:spacing w:val="-3"/>
          <w:sz w:val="19"/>
        </w:rPr>
        <w:t> </w:t>
      </w:r>
      <w:r>
        <w:rPr>
          <w:sz w:val="19"/>
        </w:rPr>
        <w:t>on</w:t>
      </w:r>
      <w:r>
        <w:rPr>
          <w:spacing w:val="-2"/>
          <w:sz w:val="19"/>
        </w:rPr>
        <w:t> </w:t>
      </w:r>
      <w:r>
        <w:rPr>
          <w:sz w:val="19"/>
        </w:rPr>
        <w:t>ability to pay or any other factors deemed relevant. For the </w:t>
      </w:r>
      <w:r>
        <w:rPr>
          <w:strike/>
          <w:color w:val="0101FF"/>
          <w:sz w:val="19"/>
        </w:rPr>
        <w:t>2004-2005</w:t>
      </w:r>
      <w:r>
        <w:rPr>
          <w:strike w:val="0"/>
          <w:color w:val="0101FF"/>
          <w:sz w:val="19"/>
        </w:rPr>
        <w:t> 2005-2006 </w:t>
      </w:r>
      <w:r>
        <w:rPr>
          <w:strike w:val="0"/>
          <w:sz w:val="19"/>
        </w:rPr>
        <w:t>fiscal</w:t>
      </w:r>
      <w:r>
        <w:rPr>
          <w:strike w:val="0"/>
          <w:spacing w:val="24"/>
          <w:sz w:val="19"/>
        </w:rPr>
        <w:t> </w:t>
      </w:r>
      <w:r>
        <w:rPr>
          <w:strike w:val="0"/>
          <w:sz w:val="19"/>
        </w:rPr>
        <w:t>year, the fees</w:t>
      </w:r>
    </w:p>
    <w:p>
      <w:pPr>
        <w:pStyle w:val="BodyText"/>
        <w:spacing w:line="206" w:lineRule="exact"/>
        <w:ind w:left="366"/>
      </w:pPr>
      <w:r>
        <w:rPr/>
        <w:t>are</w:t>
      </w:r>
      <w:r>
        <w:rPr>
          <w:spacing w:val="-4"/>
        </w:rPr>
        <w:t> </w:t>
      </w:r>
      <w:r>
        <w:rPr/>
        <w:t>as</w:t>
      </w:r>
      <w:r>
        <w:rPr>
          <w:spacing w:val="-2"/>
        </w:rPr>
        <w:t> follows:</w:t>
      </w:r>
    </w:p>
    <w:p>
      <w:pPr>
        <w:pStyle w:val="BodyText"/>
        <w:spacing w:before="9"/>
      </w:pPr>
    </w:p>
    <w:p>
      <w:pPr>
        <w:pStyle w:val="BodyText"/>
        <w:ind w:left="366"/>
      </w:pPr>
      <w:r>
        <w:rPr>
          <w:strike/>
          <w:color w:val="0101FF"/>
        </w:rPr>
        <w:t>2004-2005</w:t>
      </w:r>
      <w:r>
        <w:rPr>
          <w:strike/>
          <w:color w:val="0101FF"/>
          <w:spacing w:val="-8"/>
        </w:rPr>
        <w:t> </w:t>
      </w:r>
      <w:r>
        <w:rPr>
          <w:strike w:val="0"/>
          <w:color w:val="0101FF"/>
        </w:rPr>
        <w:t>2005-2006</w:t>
      </w:r>
      <w:r>
        <w:rPr>
          <w:strike w:val="0"/>
          <w:color w:val="0101FF"/>
          <w:spacing w:val="-6"/>
        </w:rPr>
        <w:t> </w:t>
      </w:r>
      <w:r>
        <w:rPr>
          <w:strike w:val="0"/>
        </w:rPr>
        <w:t>FEE</w:t>
      </w:r>
      <w:r>
        <w:rPr>
          <w:strike w:val="0"/>
          <w:spacing w:val="-8"/>
        </w:rPr>
        <w:t> </w:t>
      </w:r>
      <w:r>
        <w:rPr>
          <w:strike w:val="0"/>
          <w:spacing w:val="-2"/>
        </w:rPr>
        <w:t>STRUCTURE</w:t>
      </w:r>
    </w:p>
    <w:p>
      <w:pPr>
        <w:pStyle w:val="BodyText"/>
        <w:spacing w:before="10"/>
        <w:rPr>
          <w:sz w:val="11"/>
        </w:rPr>
      </w:pPr>
    </w:p>
    <w:p>
      <w:pPr>
        <w:pStyle w:val="BodyText"/>
        <w:spacing w:before="92"/>
        <w:ind w:left="3440"/>
      </w:pPr>
      <w:r>
        <w:rPr/>
        <w:t>UNF</w:t>
      </w:r>
      <w:r>
        <w:rPr>
          <w:spacing w:val="-6"/>
        </w:rPr>
        <w:t> </w:t>
      </w:r>
      <w:r>
        <w:rPr>
          <w:spacing w:val="-2"/>
        </w:rPr>
        <w:t>STUDENTS</w:t>
      </w:r>
    </w:p>
    <w:p>
      <w:pPr>
        <w:pStyle w:val="BodyText"/>
        <w:spacing w:before="9"/>
      </w:pPr>
    </w:p>
    <w:p>
      <w:pPr>
        <w:pStyle w:val="BodyText"/>
        <w:tabs>
          <w:tab w:pos="5615" w:val="left" w:leader="none"/>
        </w:tabs>
        <w:ind w:left="366"/>
      </w:pPr>
      <w:r>
        <w:rPr/>
        <w:t>Full</w:t>
      </w:r>
      <w:r>
        <w:rPr>
          <w:spacing w:val="2"/>
        </w:rPr>
        <w:t> </w:t>
      </w:r>
      <w:r>
        <w:rPr>
          <w:spacing w:val="-4"/>
        </w:rPr>
        <w:t>week</w:t>
      </w:r>
      <w:r>
        <w:rPr/>
        <w:tab/>
        <w:t>$</w:t>
      </w:r>
      <w:r>
        <w:rPr>
          <w:strike/>
          <w:color w:val="0101FF"/>
        </w:rPr>
        <w:t>95.00</w:t>
      </w:r>
      <w:r>
        <w:rPr>
          <w:strike w:val="0"/>
          <w:color w:val="0101FF"/>
          <w:spacing w:val="-7"/>
        </w:rPr>
        <w:t> </w:t>
      </w:r>
      <w:r>
        <w:rPr>
          <w:strike w:val="0"/>
          <w:color w:val="0101FF"/>
        </w:rPr>
        <w:t>110.00</w:t>
      </w:r>
      <w:r>
        <w:rPr>
          <w:strike w:val="0"/>
          <w:color w:val="0101FF"/>
          <w:spacing w:val="-3"/>
        </w:rPr>
        <w:t> </w:t>
      </w:r>
      <w:r>
        <w:rPr>
          <w:strike w:val="0"/>
        </w:rPr>
        <w:t>per </w:t>
      </w:r>
      <w:r>
        <w:rPr>
          <w:strike w:val="0"/>
          <w:spacing w:val="-4"/>
        </w:rPr>
        <w:t>week</w:t>
      </w:r>
    </w:p>
    <w:p>
      <w:pPr>
        <w:pStyle w:val="BodyText"/>
        <w:spacing w:before="1"/>
        <w:rPr>
          <w:sz w:val="12"/>
        </w:rPr>
      </w:pPr>
    </w:p>
    <w:p>
      <w:pPr>
        <w:pStyle w:val="BodyText"/>
        <w:tabs>
          <w:tab w:pos="5615" w:val="left" w:leader="none"/>
        </w:tabs>
        <w:spacing w:before="91"/>
        <w:ind w:left="366"/>
      </w:pPr>
      <w:r>
        <w:rPr/>
        <w:t>Half</w:t>
      </w:r>
      <w:r>
        <w:rPr>
          <w:spacing w:val="-5"/>
        </w:rPr>
        <w:t> </w:t>
      </w:r>
      <w:r>
        <w:rPr/>
        <w:t>Day</w:t>
      </w:r>
      <w:r>
        <w:rPr>
          <w:spacing w:val="-3"/>
        </w:rPr>
        <w:t> </w:t>
      </w:r>
      <w:r>
        <w:rPr/>
        <w:t>(8-1</w:t>
      </w:r>
      <w:r>
        <w:rPr>
          <w:spacing w:val="13"/>
        </w:rPr>
        <w:t> </w:t>
      </w:r>
      <w:r>
        <w:rPr/>
        <w:t>or</w:t>
      </w:r>
      <w:r>
        <w:rPr>
          <w:spacing w:val="-2"/>
        </w:rPr>
        <w:t> </w:t>
      </w:r>
      <w:r>
        <w:rPr/>
        <w:t>1-</w:t>
      </w:r>
      <w:r>
        <w:rPr>
          <w:spacing w:val="-5"/>
        </w:rPr>
        <w:t>6)</w:t>
      </w:r>
      <w:r>
        <w:rPr/>
        <w:tab/>
        <w:t>$</w:t>
      </w:r>
      <w:r>
        <w:rPr>
          <w:strike/>
          <w:color w:val="0101FF"/>
        </w:rPr>
        <w:t>15.00</w:t>
      </w:r>
      <w:r>
        <w:rPr>
          <w:strike w:val="0"/>
          <w:color w:val="0101FF"/>
          <w:spacing w:val="-7"/>
        </w:rPr>
        <w:t> </w:t>
      </w:r>
      <w:r>
        <w:rPr>
          <w:strike w:val="0"/>
          <w:color w:val="0101FF"/>
        </w:rPr>
        <w:t>22.00</w:t>
      </w:r>
      <w:r>
        <w:rPr>
          <w:strike w:val="0"/>
          <w:color w:val="0101FF"/>
          <w:spacing w:val="-6"/>
        </w:rPr>
        <w:t> </w:t>
      </w:r>
      <w:r>
        <w:rPr>
          <w:strike w:val="0"/>
        </w:rPr>
        <w:t>per</w:t>
      </w:r>
      <w:r>
        <w:rPr>
          <w:strike w:val="0"/>
          <w:spacing w:val="-2"/>
        </w:rPr>
        <w:t> </w:t>
      </w:r>
      <w:r>
        <w:rPr>
          <w:strike w:val="0"/>
        </w:rPr>
        <w:t>half-</w:t>
      </w:r>
      <w:r>
        <w:rPr>
          <w:strike w:val="0"/>
          <w:spacing w:val="-5"/>
        </w:rPr>
        <w:t>day</w:t>
      </w:r>
    </w:p>
    <w:p>
      <w:pPr>
        <w:pStyle w:val="BodyText"/>
        <w:spacing w:before="10"/>
        <w:rPr>
          <w:sz w:val="11"/>
        </w:rPr>
      </w:pPr>
    </w:p>
    <w:p>
      <w:pPr>
        <w:pStyle w:val="BodyText"/>
        <w:tabs>
          <w:tab w:pos="5615" w:val="left" w:leader="none"/>
        </w:tabs>
        <w:spacing w:before="92"/>
        <w:ind w:left="366"/>
      </w:pPr>
      <w:r>
        <w:rPr/>
        <w:t>Full</w:t>
      </w:r>
      <w:r>
        <w:rPr>
          <w:spacing w:val="-3"/>
        </w:rPr>
        <w:t> </w:t>
      </w:r>
      <w:r>
        <w:rPr/>
        <w:t>Day</w:t>
      </w:r>
      <w:r>
        <w:rPr>
          <w:spacing w:val="-1"/>
        </w:rPr>
        <w:t> </w:t>
      </w:r>
      <w:r>
        <w:rPr/>
        <w:t>(8</w:t>
      </w:r>
      <w:r>
        <w:rPr>
          <w:spacing w:val="8"/>
        </w:rPr>
        <w:t> </w:t>
      </w:r>
      <w:r>
        <w:rPr/>
        <w:t>–</w:t>
      </w:r>
      <w:r>
        <w:rPr>
          <w:spacing w:val="3"/>
        </w:rPr>
        <w:t> </w:t>
      </w:r>
      <w:r>
        <w:rPr>
          <w:spacing w:val="-5"/>
        </w:rPr>
        <w:t>6)</w:t>
      </w:r>
      <w:r>
        <w:rPr/>
        <w:tab/>
        <w:t>$25.00</w:t>
      </w:r>
      <w:r>
        <w:rPr>
          <w:spacing w:val="-4"/>
        </w:rPr>
        <w:t> </w:t>
      </w:r>
      <w:r>
        <w:rPr/>
        <w:t>per</w:t>
      </w:r>
      <w:r>
        <w:rPr>
          <w:spacing w:val="-3"/>
        </w:rPr>
        <w:t> </w:t>
      </w:r>
      <w:r>
        <w:rPr>
          <w:spacing w:val="-5"/>
        </w:rPr>
        <w:t>day</w:t>
      </w:r>
    </w:p>
    <w:p>
      <w:pPr>
        <w:pStyle w:val="BodyText"/>
        <w:spacing w:before="8"/>
        <w:rPr>
          <w:sz w:val="21"/>
        </w:rPr>
      </w:pPr>
    </w:p>
    <w:p>
      <w:pPr>
        <w:pStyle w:val="BodyText"/>
        <w:tabs>
          <w:tab w:pos="5615" w:val="left" w:leader="none"/>
        </w:tabs>
        <w:ind w:left="366"/>
      </w:pPr>
      <w:r>
        <w:rPr/>
        <w:t>“Call</w:t>
      </w:r>
      <w:r>
        <w:rPr>
          <w:spacing w:val="-5"/>
        </w:rPr>
        <w:t> </w:t>
      </w:r>
      <w:r>
        <w:rPr/>
        <w:t>in”</w:t>
      </w:r>
      <w:r>
        <w:rPr>
          <w:spacing w:val="-4"/>
        </w:rPr>
        <w:t> </w:t>
      </w:r>
      <w:r>
        <w:rPr/>
        <w:t>and</w:t>
      </w:r>
      <w:r>
        <w:rPr>
          <w:spacing w:val="14"/>
        </w:rPr>
        <w:t> </w:t>
      </w:r>
      <w:r>
        <w:rPr/>
        <w:t>excess</w:t>
      </w:r>
      <w:r>
        <w:rPr>
          <w:spacing w:val="3"/>
        </w:rPr>
        <w:t> </w:t>
      </w:r>
      <w:r>
        <w:rPr>
          <w:spacing w:val="-4"/>
        </w:rPr>
        <w:t>hours</w:t>
      </w:r>
      <w:r>
        <w:rPr/>
        <w:tab/>
        <w:t>$5.00</w:t>
      </w:r>
      <w:r>
        <w:rPr>
          <w:spacing w:val="-3"/>
        </w:rPr>
        <w:t> </w:t>
      </w:r>
      <w:r>
        <w:rPr/>
        <w:t>per</w:t>
      </w:r>
      <w:r>
        <w:rPr>
          <w:spacing w:val="-4"/>
        </w:rPr>
        <w:t> hour</w:t>
      </w:r>
    </w:p>
    <w:p>
      <w:pPr>
        <w:pStyle w:val="BodyText"/>
        <w:spacing w:before="9"/>
      </w:pPr>
    </w:p>
    <w:p>
      <w:pPr>
        <w:pStyle w:val="BodyText"/>
        <w:tabs>
          <w:tab w:pos="5614" w:val="left" w:leader="none"/>
        </w:tabs>
        <w:ind w:left="366"/>
      </w:pPr>
      <w:r>
        <w:rPr>
          <w:color w:val="C00000"/>
        </w:rPr>
        <w:t>Voluntary</w:t>
      </w:r>
      <w:r>
        <w:rPr>
          <w:color w:val="C00000"/>
          <w:spacing w:val="-10"/>
        </w:rPr>
        <w:t> </w:t>
      </w:r>
      <w:r>
        <w:rPr>
          <w:color w:val="C00000"/>
        </w:rPr>
        <w:t>Pre-</w:t>
      </w:r>
      <w:r>
        <w:rPr>
          <w:color w:val="C00000"/>
          <w:spacing w:val="-10"/>
        </w:rPr>
        <w:t>K</w:t>
      </w:r>
      <w:r>
        <w:rPr>
          <w:color w:val="C00000"/>
        </w:rPr>
        <w:tab/>
        <w:t>$29.19</w:t>
      </w:r>
      <w:r>
        <w:rPr>
          <w:color w:val="C00000"/>
          <w:spacing w:val="-4"/>
        </w:rPr>
        <w:t> </w:t>
      </w:r>
      <w:r>
        <w:rPr>
          <w:color w:val="C00000"/>
        </w:rPr>
        <w:t>per</w:t>
      </w:r>
      <w:r>
        <w:rPr>
          <w:color w:val="C00000"/>
          <w:spacing w:val="-3"/>
        </w:rPr>
        <w:t> </w:t>
      </w:r>
      <w:r>
        <w:rPr>
          <w:color w:val="C00000"/>
          <w:spacing w:val="-4"/>
        </w:rPr>
        <w:t>week</w:t>
      </w:r>
    </w:p>
    <w:p>
      <w:pPr>
        <w:pStyle w:val="BodyText"/>
        <w:spacing w:before="9"/>
      </w:pPr>
    </w:p>
    <w:p>
      <w:pPr>
        <w:pStyle w:val="BodyText"/>
        <w:tabs>
          <w:tab w:pos="5614" w:val="left" w:leader="none"/>
        </w:tabs>
        <w:spacing w:line="491" w:lineRule="auto" w:before="1"/>
        <w:ind w:left="366" w:right="2741"/>
      </w:pPr>
      <w:r>
        <w:rPr>
          <w:color w:val="C00000"/>
        </w:rPr>
        <w:t>Voluntary Pre-K and</w:t>
      </w:r>
      <w:r>
        <w:rPr>
          <w:color w:val="C00000"/>
          <w:spacing w:val="40"/>
        </w:rPr>
        <w:t> </w:t>
      </w:r>
      <w:r>
        <w:rPr>
          <w:color w:val="C00000"/>
        </w:rPr>
        <w:t>Half Day</w:t>
        <w:tab/>
        <w:t>$29.19</w:t>
      </w:r>
      <w:r>
        <w:rPr>
          <w:color w:val="C00000"/>
          <w:spacing w:val="-10"/>
        </w:rPr>
        <w:t> </w:t>
      </w:r>
      <w:r>
        <w:rPr>
          <w:color w:val="C00000"/>
        </w:rPr>
        <w:t>per</w:t>
      </w:r>
      <w:r>
        <w:rPr>
          <w:color w:val="C00000"/>
          <w:spacing w:val="-10"/>
        </w:rPr>
        <w:t> </w:t>
      </w:r>
      <w:r>
        <w:rPr>
          <w:color w:val="C00000"/>
        </w:rPr>
        <w:t>week</w:t>
      </w:r>
      <w:r>
        <w:rPr>
          <w:color w:val="C00000"/>
          <w:spacing w:val="-9"/>
        </w:rPr>
        <w:t> </w:t>
      </w:r>
      <w:r>
        <w:rPr>
          <w:color w:val="C00000"/>
        </w:rPr>
        <w:t>and</w:t>
      </w:r>
      <w:r>
        <w:rPr>
          <w:color w:val="C00000"/>
          <w:spacing w:val="-6"/>
        </w:rPr>
        <w:t> </w:t>
      </w:r>
      <w:r>
        <w:rPr>
          <w:color w:val="C00000"/>
        </w:rPr>
        <w:t>$8.50 per half day</w:t>
      </w:r>
    </w:p>
    <w:p>
      <w:pPr>
        <w:spacing w:after="0" w:line="491" w:lineRule="auto"/>
        <w:sectPr>
          <w:pgSz w:w="12240" w:h="15840"/>
          <w:pgMar w:top="1480" w:bottom="280" w:left="800" w:right="1020"/>
        </w:sectPr>
      </w:pPr>
    </w:p>
    <w:p>
      <w:pPr>
        <w:pStyle w:val="BodyText"/>
        <w:tabs>
          <w:tab w:pos="5614" w:val="left" w:leader="none"/>
          <w:tab w:pos="6195" w:val="left" w:leader="none"/>
        </w:tabs>
        <w:spacing w:line="244" w:lineRule="auto" w:before="80"/>
        <w:ind w:left="366" w:right="2664"/>
      </w:pPr>
      <w:r>
        <w:rPr/>
        <w:pict>
          <v:rect style="position:absolute;margin-left:58.32pt;margin-top:495.23999pt;width:326.280pt;height:.48pt;mso-position-horizontal-relative:page;mso-position-vertical-relative:page;z-index:-16188928" id="docshape4" filled="true" fillcolor="#0101ff" stroked="false">
            <v:fill type="solid"/>
            <w10:wrap type="none"/>
          </v:rect>
        </w:pict>
      </w:r>
      <w:r>
        <w:rPr>
          <w:color w:val="C00000"/>
        </w:rPr>
        <w:t>Voluntary Pre-K and Full Day</w:t>
        <w:tab/>
        <w:t>$29.19</w:t>
      </w:r>
      <w:r>
        <w:rPr>
          <w:color w:val="C00000"/>
          <w:spacing w:val="-12"/>
        </w:rPr>
        <w:t> </w:t>
      </w:r>
      <w:r>
        <w:rPr>
          <w:color w:val="C00000"/>
        </w:rPr>
        <w:t>per</w:t>
      </w:r>
      <w:r>
        <w:rPr>
          <w:color w:val="C00000"/>
          <w:spacing w:val="-12"/>
        </w:rPr>
        <w:t> </w:t>
      </w:r>
      <w:r>
        <w:rPr>
          <w:color w:val="C00000"/>
        </w:rPr>
        <w:t>week</w:t>
      </w:r>
      <w:r>
        <w:rPr>
          <w:color w:val="C00000"/>
          <w:spacing w:val="-12"/>
        </w:rPr>
        <w:t> </w:t>
      </w:r>
      <w:r>
        <w:rPr>
          <w:color w:val="C00000"/>
        </w:rPr>
        <w:t>and</w:t>
      </w:r>
      <w:r>
        <w:rPr>
          <w:color w:val="C00000"/>
          <w:spacing w:val="-12"/>
        </w:rPr>
        <w:t> </w:t>
      </w:r>
      <w:r>
        <w:rPr>
          <w:color w:val="C00000"/>
        </w:rPr>
        <w:t>$11.50 per full d</w:t>
      </w:r>
      <w:r>
        <w:rPr/>
        <w:t>ayUNF Student</w:t>
      </w:r>
      <w:r>
        <w:rPr>
          <w:spacing w:val="40"/>
        </w:rPr>
        <w:t> </w:t>
      </w:r>
      <w:r>
        <w:rPr/>
        <w:t>Registration Fee</w:t>
        <w:tab/>
        <w:tab/>
        <w:t>$20.00 per child/</w:t>
      </w:r>
    </w:p>
    <w:p>
      <w:pPr>
        <w:pStyle w:val="BodyText"/>
        <w:spacing w:line="242" w:lineRule="auto" w:before="1"/>
        <w:ind w:left="5614" w:right="3641"/>
      </w:pPr>
      <w:r>
        <w:rPr>
          <w:spacing w:val="-2"/>
        </w:rPr>
        <w:t>non-refundable </w:t>
      </w:r>
      <w:r>
        <w:rPr/>
        <w:t>one-time fee</w:t>
      </w:r>
    </w:p>
    <w:p>
      <w:pPr>
        <w:pStyle w:val="BodyText"/>
        <w:spacing w:before="9"/>
      </w:pPr>
    </w:p>
    <w:p>
      <w:pPr>
        <w:pStyle w:val="BodyText"/>
        <w:tabs>
          <w:tab w:pos="5614" w:val="left" w:leader="none"/>
        </w:tabs>
        <w:ind w:left="366"/>
      </w:pPr>
      <w:r>
        <w:rPr/>
        <w:t>Supply</w:t>
      </w:r>
      <w:r>
        <w:rPr>
          <w:spacing w:val="-5"/>
        </w:rPr>
        <w:t> Fee</w:t>
      </w:r>
      <w:r>
        <w:rPr/>
        <w:tab/>
        <w:t>$30.00</w:t>
      </w:r>
      <w:r>
        <w:rPr>
          <w:spacing w:val="-4"/>
        </w:rPr>
        <w:t> </w:t>
      </w:r>
      <w:r>
        <w:rPr/>
        <w:t>per</w:t>
      </w:r>
      <w:r>
        <w:rPr>
          <w:spacing w:val="-3"/>
        </w:rPr>
        <w:t> </w:t>
      </w:r>
      <w:r>
        <w:rPr>
          <w:spacing w:val="-2"/>
        </w:rPr>
        <w:t>family/</w:t>
      </w:r>
    </w:p>
    <w:p>
      <w:pPr>
        <w:pStyle w:val="BodyText"/>
        <w:spacing w:before="5"/>
        <w:ind w:left="5614"/>
      </w:pPr>
      <w:r>
        <w:rPr/>
        <w:t>per</w:t>
      </w:r>
      <w:r>
        <w:rPr>
          <w:spacing w:val="-4"/>
        </w:rPr>
        <w:t> </w:t>
      </w:r>
      <w:r>
        <w:rPr>
          <w:spacing w:val="-2"/>
        </w:rPr>
        <w:t>semester</w:t>
      </w:r>
    </w:p>
    <w:p>
      <w:pPr>
        <w:pStyle w:val="BodyText"/>
        <w:rPr>
          <w:sz w:val="20"/>
        </w:rPr>
      </w:pPr>
    </w:p>
    <w:p>
      <w:pPr>
        <w:pStyle w:val="BodyText"/>
        <w:rPr>
          <w:sz w:val="20"/>
        </w:rPr>
      </w:pPr>
    </w:p>
    <w:p>
      <w:pPr>
        <w:pStyle w:val="BodyText"/>
        <w:spacing w:before="7"/>
        <w:rPr>
          <w:sz w:val="17"/>
        </w:rPr>
      </w:pPr>
    </w:p>
    <w:p>
      <w:pPr>
        <w:pStyle w:val="BodyText"/>
        <w:ind w:left="1595"/>
      </w:pPr>
      <w:r>
        <w:rPr/>
        <w:t>UNF</w:t>
      </w:r>
      <w:r>
        <w:rPr>
          <w:spacing w:val="-7"/>
        </w:rPr>
        <w:t> </w:t>
      </w:r>
      <w:r>
        <w:rPr/>
        <w:t>FACULTY,</w:t>
      </w:r>
      <w:r>
        <w:rPr>
          <w:spacing w:val="-6"/>
        </w:rPr>
        <w:t> </w:t>
      </w:r>
      <w:r>
        <w:rPr/>
        <w:t>USPS</w:t>
      </w:r>
      <w:r>
        <w:rPr>
          <w:color w:val="0101FF"/>
        </w:rPr>
        <w:t>,</w:t>
      </w:r>
      <w:r>
        <w:rPr>
          <w:color w:val="0101FF"/>
          <w:spacing w:val="-6"/>
        </w:rPr>
        <w:t> </w:t>
      </w:r>
      <w:r>
        <w:rPr>
          <w:strike/>
          <w:color w:val="0101FF"/>
        </w:rPr>
        <w:t>&amp;</w:t>
      </w:r>
      <w:r>
        <w:rPr>
          <w:strike/>
          <w:color w:val="0101FF"/>
          <w:spacing w:val="-5"/>
        </w:rPr>
        <w:t> </w:t>
      </w:r>
      <w:r>
        <w:rPr>
          <w:strike w:val="0"/>
        </w:rPr>
        <w:t>A&amp;P</w:t>
      </w:r>
      <w:r>
        <w:rPr>
          <w:strike w:val="0"/>
          <w:spacing w:val="-7"/>
        </w:rPr>
        <w:t> </w:t>
      </w:r>
      <w:r>
        <w:rPr>
          <w:strike w:val="0"/>
        </w:rPr>
        <w:t>STAFF</w:t>
      </w:r>
      <w:r>
        <w:rPr>
          <w:strike w:val="0"/>
          <w:spacing w:val="-7"/>
        </w:rPr>
        <w:t> </w:t>
      </w:r>
      <w:r>
        <w:rPr>
          <w:strike w:val="0"/>
          <w:color w:val="0101FF"/>
        </w:rPr>
        <w:t>&amp;</w:t>
      </w:r>
      <w:r>
        <w:rPr>
          <w:strike w:val="0"/>
          <w:color w:val="0101FF"/>
          <w:spacing w:val="-5"/>
        </w:rPr>
        <w:t> </w:t>
      </w:r>
      <w:r>
        <w:rPr>
          <w:strike w:val="0"/>
          <w:color w:val="C00000"/>
        </w:rPr>
        <w:t>GENERAL</w:t>
      </w:r>
      <w:r>
        <w:rPr>
          <w:strike w:val="0"/>
          <w:color w:val="C00000"/>
          <w:spacing w:val="-8"/>
        </w:rPr>
        <w:t> </w:t>
      </w:r>
      <w:r>
        <w:rPr>
          <w:strike w:val="0"/>
          <w:color w:val="C00000"/>
          <w:spacing w:val="-2"/>
        </w:rPr>
        <w:t>PUBLIC</w:t>
      </w:r>
    </w:p>
    <w:p>
      <w:pPr>
        <w:pStyle w:val="BodyText"/>
        <w:spacing w:before="10"/>
        <w:rPr>
          <w:sz w:val="11"/>
        </w:rPr>
      </w:pPr>
    </w:p>
    <w:p>
      <w:pPr>
        <w:pStyle w:val="BodyText"/>
        <w:tabs>
          <w:tab w:pos="5615" w:val="left" w:leader="none"/>
        </w:tabs>
        <w:spacing w:before="91"/>
        <w:ind w:left="366"/>
      </w:pPr>
      <w:r>
        <w:rPr/>
        <w:t>Full</w:t>
      </w:r>
      <w:r>
        <w:rPr>
          <w:spacing w:val="-4"/>
        </w:rPr>
        <w:t> </w:t>
      </w:r>
      <w:r>
        <w:rPr/>
        <w:t>week</w:t>
      </w:r>
      <w:r>
        <w:rPr>
          <w:spacing w:val="9"/>
        </w:rPr>
        <w:t> </w:t>
      </w:r>
      <w:r>
        <w:rPr/>
        <w:t>(50</w:t>
      </w:r>
      <w:r>
        <w:rPr>
          <w:spacing w:val="2"/>
        </w:rPr>
        <w:t> </w:t>
      </w:r>
      <w:r>
        <w:rPr>
          <w:spacing w:val="-2"/>
        </w:rPr>
        <w:t>hours)</w:t>
      </w:r>
      <w:r>
        <w:rPr/>
        <w:tab/>
        <w:t>$</w:t>
      </w:r>
      <w:r>
        <w:rPr>
          <w:strike/>
          <w:color w:val="0101FF"/>
        </w:rPr>
        <w:t>140.00</w:t>
      </w:r>
      <w:r>
        <w:rPr>
          <w:strike/>
          <w:color w:val="0101FF"/>
          <w:spacing w:val="-4"/>
        </w:rPr>
        <w:t> </w:t>
      </w:r>
      <w:r>
        <w:rPr>
          <w:strike w:val="0"/>
          <w:color w:val="0101FF"/>
        </w:rPr>
        <w:t>130.00</w:t>
      </w:r>
      <w:r>
        <w:rPr>
          <w:strike w:val="0"/>
          <w:color w:val="0101FF"/>
          <w:spacing w:val="-6"/>
        </w:rPr>
        <w:t> </w:t>
      </w:r>
      <w:r>
        <w:rPr>
          <w:strike w:val="0"/>
        </w:rPr>
        <w:t>per</w:t>
      </w:r>
      <w:r>
        <w:rPr>
          <w:strike w:val="0"/>
          <w:spacing w:val="-1"/>
        </w:rPr>
        <w:t> </w:t>
      </w:r>
      <w:r>
        <w:rPr>
          <w:strike w:val="0"/>
          <w:spacing w:val="-4"/>
        </w:rPr>
        <w:t>week</w:t>
      </w:r>
    </w:p>
    <w:p>
      <w:pPr>
        <w:pStyle w:val="BodyText"/>
        <w:spacing w:before="1"/>
        <w:rPr>
          <w:sz w:val="12"/>
        </w:rPr>
      </w:pPr>
    </w:p>
    <w:p>
      <w:pPr>
        <w:pStyle w:val="BodyText"/>
        <w:tabs>
          <w:tab w:pos="5615" w:val="left" w:leader="none"/>
        </w:tabs>
        <w:spacing w:before="92"/>
        <w:ind w:left="366"/>
      </w:pPr>
      <w:r>
        <w:rPr/>
        <w:t>Two</w:t>
      </w:r>
      <w:r>
        <w:rPr>
          <w:spacing w:val="-3"/>
        </w:rPr>
        <w:t> </w:t>
      </w:r>
      <w:r>
        <w:rPr/>
        <w:t>(2)</w:t>
      </w:r>
      <w:r>
        <w:rPr>
          <w:spacing w:val="-4"/>
        </w:rPr>
        <w:t> </w:t>
      </w:r>
      <w:r>
        <w:rPr/>
        <w:t>days</w:t>
      </w:r>
      <w:r>
        <w:rPr>
          <w:spacing w:val="-2"/>
        </w:rPr>
        <w:t> </w:t>
      </w:r>
      <w:r>
        <w:rPr/>
        <w:t>a</w:t>
      </w:r>
      <w:r>
        <w:rPr>
          <w:spacing w:val="-4"/>
        </w:rPr>
        <w:t> </w:t>
      </w:r>
      <w:r>
        <w:rPr/>
        <w:t>week</w:t>
      </w:r>
      <w:r>
        <w:rPr>
          <w:spacing w:val="23"/>
        </w:rPr>
        <w:t> </w:t>
      </w:r>
      <w:r>
        <w:rPr/>
        <w:t>(T,</w:t>
      </w:r>
      <w:r>
        <w:rPr>
          <w:spacing w:val="4"/>
        </w:rPr>
        <w:t> </w:t>
      </w:r>
      <w:r>
        <w:rPr>
          <w:spacing w:val="-5"/>
        </w:rPr>
        <w:t>TH)</w:t>
      </w:r>
      <w:r>
        <w:rPr/>
        <w:tab/>
        <w:t>$60.00</w:t>
      </w:r>
      <w:r>
        <w:rPr>
          <w:spacing w:val="-4"/>
        </w:rPr>
        <w:t> </w:t>
      </w:r>
      <w:r>
        <w:rPr/>
        <w:t>per</w:t>
      </w:r>
      <w:r>
        <w:rPr>
          <w:spacing w:val="20"/>
        </w:rPr>
        <w:t> </w:t>
      </w:r>
      <w:r>
        <w:rPr>
          <w:spacing w:val="-4"/>
        </w:rPr>
        <w:t>week</w:t>
      </w:r>
    </w:p>
    <w:p>
      <w:pPr>
        <w:pStyle w:val="BodyText"/>
        <w:spacing w:before="9"/>
      </w:pPr>
    </w:p>
    <w:p>
      <w:pPr>
        <w:pStyle w:val="BodyText"/>
        <w:tabs>
          <w:tab w:pos="5615" w:val="left" w:leader="none"/>
        </w:tabs>
        <w:ind w:left="366"/>
      </w:pPr>
      <w:r>
        <w:rPr/>
        <w:t>Three</w:t>
      </w:r>
      <w:r>
        <w:rPr>
          <w:spacing w:val="-4"/>
        </w:rPr>
        <w:t> </w:t>
      </w:r>
      <w:r>
        <w:rPr/>
        <w:t>(3)</w:t>
      </w:r>
      <w:r>
        <w:rPr>
          <w:spacing w:val="-4"/>
        </w:rPr>
        <w:t> </w:t>
      </w:r>
      <w:r>
        <w:rPr/>
        <w:t>days</w:t>
      </w:r>
      <w:r>
        <w:rPr>
          <w:spacing w:val="-2"/>
        </w:rPr>
        <w:t> </w:t>
      </w:r>
      <w:r>
        <w:rPr/>
        <w:t>a</w:t>
      </w:r>
      <w:r>
        <w:rPr>
          <w:spacing w:val="-3"/>
        </w:rPr>
        <w:t> </w:t>
      </w:r>
      <w:r>
        <w:rPr/>
        <w:t>week</w:t>
      </w:r>
      <w:r>
        <w:rPr>
          <w:spacing w:val="-3"/>
        </w:rPr>
        <w:t> </w:t>
      </w:r>
      <w:r>
        <w:rPr/>
        <w:t>(M,</w:t>
      </w:r>
      <w:r>
        <w:rPr>
          <w:spacing w:val="29"/>
        </w:rPr>
        <w:t> </w:t>
      </w:r>
      <w:r>
        <w:rPr/>
        <w:t>W,</w:t>
      </w:r>
      <w:r>
        <w:rPr>
          <w:spacing w:val="1"/>
        </w:rPr>
        <w:t> </w:t>
      </w:r>
      <w:r>
        <w:rPr>
          <w:spacing w:val="-5"/>
        </w:rPr>
        <w:t>F)</w:t>
      </w:r>
      <w:r>
        <w:rPr/>
        <w:tab/>
        <w:t>$90.00</w:t>
      </w:r>
      <w:r>
        <w:rPr>
          <w:spacing w:val="-4"/>
        </w:rPr>
        <w:t> </w:t>
      </w:r>
      <w:r>
        <w:rPr/>
        <w:t>per</w:t>
      </w:r>
      <w:r>
        <w:rPr>
          <w:spacing w:val="22"/>
        </w:rPr>
        <w:t> </w:t>
      </w:r>
      <w:r>
        <w:rPr>
          <w:spacing w:val="-4"/>
        </w:rPr>
        <w:t>week</w:t>
      </w:r>
    </w:p>
    <w:p>
      <w:pPr>
        <w:pStyle w:val="BodyText"/>
        <w:spacing w:before="10"/>
      </w:pPr>
    </w:p>
    <w:p>
      <w:pPr>
        <w:pStyle w:val="BodyText"/>
        <w:tabs>
          <w:tab w:pos="5614" w:val="left" w:leader="none"/>
        </w:tabs>
        <w:ind w:left="366"/>
      </w:pPr>
      <w:r>
        <w:rPr/>
        <w:t>“Call</w:t>
      </w:r>
      <w:r>
        <w:rPr>
          <w:spacing w:val="-5"/>
        </w:rPr>
        <w:t> </w:t>
      </w:r>
      <w:r>
        <w:rPr/>
        <w:t>in”</w:t>
      </w:r>
      <w:r>
        <w:rPr>
          <w:spacing w:val="-4"/>
        </w:rPr>
        <w:t> </w:t>
      </w:r>
      <w:r>
        <w:rPr/>
        <w:t>and</w:t>
      </w:r>
      <w:r>
        <w:rPr>
          <w:spacing w:val="14"/>
        </w:rPr>
        <w:t> </w:t>
      </w:r>
      <w:r>
        <w:rPr/>
        <w:t>excess</w:t>
      </w:r>
      <w:r>
        <w:rPr>
          <w:spacing w:val="3"/>
        </w:rPr>
        <w:t> </w:t>
      </w:r>
      <w:r>
        <w:rPr>
          <w:spacing w:val="-4"/>
        </w:rPr>
        <w:t>hours</w:t>
      </w:r>
      <w:r>
        <w:rPr/>
        <w:tab/>
        <w:t>$5.00</w:t>
      </w:r>
      <w:r>
        <w:rPr>
          <w:spacing w:val="-3"/>
        </w:rPr>
        <w:t> </w:t>
      </w:r>
      <w:r>
        <w:rPr/>
        <w:t>per</w:t>
      </w:r>
      <w:r>
        <w:rPr>
          <w:spacing w:val="-4"/>
        </w:rPr>
        <w:t> hour</w:t>
      </w:r>
    </w:p>
    <w:p>
      <w:pPr>
        <w:pStyle w:val="BodyText"/>
        <w:spacing w:before="9"/>
      </w:pPr>
    </w:p>
    <w:p>
      <w:pPr>
        <w:pStyle w:val="BodyText"/>
        <w:tabs>
          <w:tab w:pos="5614" w:val="left" w:leader="none"/>
        </w:tabs>
        <w:ind w:left="366"/>
      </w:pPr>
      <w:r>
        <w:rPr>
          <w:color w:val="0101FF"/>
        </w:rPr>
        <w:t>Voluntary</w:t>
      </w:r>
      <w:r>
        <w:rPr>
          <w:color w:val="0101FF"/>
          <w:spacing w:val="-10"/>
        </w:rPr>
        <w:t> </w:t>
      </w:r>
      <w:r>
        <w:rPr>
          <w:color w:val="0101FF"/>
        </w:rPr>
        <w:t>Pre-</w:t>
      </w:r>
      <w:r>
        <w:rPr>
          <w:color w:val="0101FF"/>
          <w:spacing w:val="-10"/>
        </w:rPr>
        <w:t>K</w:t>
      </w:r>
      <w:r>
        <w:rPr>
          <w:color w:val="0101FF"/>
        </w:rPr>
        <w:tab/>
        <w:t>$</w:t>
      </w:r>
      <w:r>
        <w:rPr>
          <w:strike/>
          <w:color w:val="C00000"/>
        </w:rPr>
        <w:t>29.19</w:t>
      </w:r>
      <w:r>
        <w:rPr>
          <w:strike w:val="0"/>
          <w:color w:val="C00000"/>
          <w:spacing w:val="-5"/>
        </w:rPr>
        <w:t> </w:t>
      </w:r>
      <w:r>
        <w:rPr>
          <w:strike w:val="0"/>
          <w:color w:val="C00000"/>
        </w:rPr>
        <w:t>49.82</w:t>
      </w:r>
      <w:r>
        <w:rPr>
          <w:strike w:val="0"/>
          <w:color w:val="C00000"/>
          <w:spacing w:val="-4"/>
        </w:rPr>
        <w:t> </w:t>
      </w:r>
      <w:r>
        <w:rPr>
          <w:strike w:val="0"/>
          <w:color w:val="0101FF"/>
        </w:rPr>
        <w:t>per</w:t>
      </w:r>
      <w:r>
        <w:rPr>
          <w:strike w:val="0"/>
          <w:color w:val="0101FF"/>
          <w:spacing w:val="31"/>
        </w:rPr>
        <w:t> </w:t>
      </w:r>
      <w:r>
        <w:rPr>
          <w:strike w:val="0"/>
          <w:color w:val="0101FF"/>
          <w:spacing w:val="-4"/>
        </w:rPr>
        <w:t>week</w:t>
      </w:r>
    </w:p>
    <w:p>
      <w:pPr>
        <w:pStyle w:val="BodyText"/>
        <w:spacing w:before="1"/>
        <w:rPr>
          <w:sz w:val="12"/>
        </w:rPr>
      </w:pPr>
    </w:p>
    <w:p>
      <w:pPr>
        <w:pStyle w:val="BodyText"/>
        <w:tabs>
          <w:tab w:pos="5615" w:val="left" w:leader="none"/>
        </w:tabs>
        <w:spacing w:before="91"/>
        <w:ind w:left="366"/>
      </w:pPr>
      <w:r>
        <w:rPr/>
        <w:t>Registration</w:t>
      </w:r>
      <w:r>
        <w:rPr>
          <w:spacing w:val="-3"/>
        </w:rPr>
        <w:t> </w:t>
      </w:r>
      <w:r>
        <w:rPr>
          <w:spacing w:val="-5"/>
        </w:rPr>
        <w:t>Fee</w:t>
      </w:r>
      <w:r>
        <w:rPr/>
        <w:tab/>
        <w:t>$</w:t>
      </w:r>
      <w:r>
        <w:rPr>
          <w:strike/>
          <w:color w:val="0101FF"/>
        </w:rPr>
        <w:t>40.00</w:t>
      </w:r>
      <w:r>
        <w:rPr>
          <w:strike/>
          <w:color w:val="0101FF"/>
          <w:spacing w:val="-4"/>
        </w:rPr>
        <w:t> </w:t>
      </w:r>
      <w:r>
        <w:rPr>
          <w:strike w:val="0"/>
          <w:color w:val="0101FF"/>
        </w:rPr>
        <w:t>50.00</w:t>
      </w:r>
      <w:r>
        <w:rPr>
          <w:strike w:val="0"/>
          <w:color w:val="0101FF"/>
          <w:spacing w:val="-4"/>
        </w:rPr>
        <w:t> </w:t>
      </w:r>
      <w:r>
        <w:rPr>
          <w:strike w:val="0"/>
        </w:rPr>
        <w:t>per</w:t>
      </w:r>
      <w:r>
        <w:rPr>
          <w:strike w:val="0"/>
          <w:spacing w:val="31"/>
        </w:rPr>
        <w:t> </w:t>
      </w:r>
      <w:r>
        <w:rPr>
          <w:strike w:val="0"/>
          <w:spacing w:val="-2"/>
        </w:rPr>
        <w:t>child/</w:t>
      </w:r>
    </w:p>
    <w:p>
      <w:pPr>
        <w:pStyle w:val="BodyText"/>
        <w:spacing w:line="242" w:lineRule="auto" w:before="8"/>
        <w:ind w:left="5615" w:right="3641"/>
      </w:pPr>
      <w:r>
        <w:rPr>
          <w:spacing w:val="-2"/>
        </w:rPr>
        <w:t>non-refundable </w:t>
      </w:r>
      <w:r>
        <w:rPr/>
        <w:t>one-time fee</w:t>
      </w:r>
    </w:p>
    <w:p>
      <w:pPr>
        <w:pStyle w:val="BodyText"/>
        <w:spacing w:before="7"/>
      </w:pPr>
    </w:p>
    <w:p>
      <w:pPr>
        <w:pStyle w:val="BodyText"/>
        <w:tabs>
          <w:tab w:pos="5615" w:val="left" w:leader="none"/>
        </w:tabs>
        <w:ind w:left="366"/>
      </w:pPr>
      <w:r>
        <w:rPr/>
        <w:t>Supply</w:t>
      </w:r>
      <w:r>
        <w:rPr>
          <w:spacing w:val="-5"/>
        </w:rPr>
        <w:t> Fee</w:t>
      </w:r>
      <w:r>
        <w:rPr/>
        <w:tab/>
        <w:t>$30.00</w:t>
      </w:r>
      <w:r>
        <w:rPr>
          <w:spacing w:val="-4"/>
        </w:rPr>
        <w:t> </w:t>
      </w:r>
      <w:r>
        <w:rPr/>
        <w:t>per</w:t>
      </w:r>
      <w:r>
        <w:rPr>
          <w:spacing w:val="-3"/>
        </w:rPr>
        <w:t> </w:t>
      </w:r>
      <w:r>
        <w:rPr>
          <w:spacing w:val="-2"/>
        </w:rPr>
        <w:t>family/</w:t>
      </w:r>
    </w:p>
    <w:p>
      <w:pPr>
        <w:pStyle w:val="BodyText"/>
        <w:spacing w:before="5"/>
        <w:ind w:left="5615"/>
      </w:pPr>
      <w:r>
        <w:rPr/>
        <w:t>per</w:t>
      </w:r>
      <w:r>
        <w:rPr>
          <w:spacing w:val="-4"/>
        </w:rPr>
        <w:t> </w:t>
      </w:r>
      <w:r>
        <w:rPr>
          <w:spacing w:val="-2"/>
        </w:rPr>
        <w:t>semester</w:t>
      </w:r>
    </w:p>
    <w:p>
      <w:pPr>
        <w:pStyle w:val="BodyText"/>
        <w:rPr>
          <w:sz w:val="20"/>
        </w:rPr>
      </w:pPr>
    </w:p>
    <w:p>
      <w:pPr>
        <w:pStyle w:val="BodyText"/>
        <w:rPr>
          <w:sz w:val="20"/>
        </w:rPr>
      </w:pPr>
    </w:p>
    <w:p>
      <w:pPr>
        <w:pStyle w:val="BodyText"/>
        <w:spacing w:before="6"/>
      </w:pPr>
    </w:p>
    <w:tbl>
      <w:tblPr>
        <w:tblW w:w="0" w:type="auto"/>
        <w:jc w:val="left"/>
        <w:tblInd w:w="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8"/>
        <w:gridCol w:w="2356"/>
        <w:gridCol w:w="1804"/>
      </w:tblGrid>
      <w:tr>
        <w:trPr>
          <w:trHeight w:val="328" w:hRule="atLeast"/>
        </w:trPr>
        <w:tc>
          <w:tcPr>
            <w:tcW w:w="2598" w:type="dxa"/>
          </w:tcPr>
          <w:p>
            <w:pPr>
              <w:pStyle w:val="TableParagraph"/>
              <w:rPr>
                <w:sz w:val="18"/>
              </w:rPr>
            </w:pPr>
          </w:p>
        </w:tc>
        <w:tc>
          <w:tcPr>
            <w:tcW w:w="2356" w:type="dxa"/>
          </w:tcPr>
          <w:p>
            <w:pPr>
              <w:pStyle w:val="TableParagraph"/>
              <w:spacing w:line="210" w:lineRule="exact"/>
              <w:ind w:left="433"/>
              <w:rPr>
                <w:sz w:val="19"/>
              </w:rPr>
            </w:pPr>
            <w:r>
              <w:rPr>
                <w:sz w:val="19"/>
              </w:rPr>
              <w:t>NIGHT</w:t>
            </w:r>
            <w:r>
              <w:rPr>
                <w:spacing w:val="-11"/>
                <w:sz w:val="19"/>
              </w:rPr>
              <w:t> </w:t>
            </w:r>
            <w:r>
              <w:rPr>
                <w:spacing w:val="-2"/>
                <w:sz w:val="19"/>
              </w:rPr>
              <w:t>PROGRAM</w:t>
            </w:r>
          </w:p>
        </w:tc>
        <w:tc>
          <w:tcPr>
            <w:tcW w:w="1804" w:type="dxa"/>
          </w:tcPr>
          <w:p>
            <w:pPr>
              <w:pStyle w:val="TableParagraph"/>
              <w:rPr>
                <w:sz w:val="18"/>
              </w:rPr>
            </w:pPr>
          </w:p>
        </w:tc>
      </w:tr>
      <w:tr>
        <w:trPr>
          <w:trHeight w:val="446" w:hRule="atLeast"/>
        </w:trPr>
        <w:tc>
          <w:tcPr>
            <w:tcW w:w="2598" w:type="dxa"/>
          </w:tcPr>
          <w:p>
            <w:pPr>
              <w:pStyle w:val="TableParagraph"/>
              <w:spacing w:before="110"/>
              <w:ind w:left="50"/>
              <w:rPr>
                <w:sz w:val="19"/>
              </w:rPr>
            </w:pPr>
            <w:r>
              <w:rPr>
                <w:spacing w:val="-2"/>
                <w:sz w:val="19"/>
              </w:rPr>
              <w:t>Students</w:t>
            </w:r>
          </w:p>
        </w:tc>
        <w:tc>
          <w:tcPr>
            <w:tcW w:w="2356" w:type="dxa"/>
          </w:tcPr>
          <w:p>
            <w:pPr>
              <w:pStyle w:val="TableParagraph"/>
              <w:rPr>
                <w:sz w:val="18"/>
              </w:rPr>
            </w:pPr>
          </w:p>
        </w:tc>
        <w:tc>
          <w:tcPr>
            <w:tcW w:w="1804" w:type="dxa"/>
          </w:tcPr>
          <w:p>
            <w:pPr>
              <w:pStyle w:val="TableParagraph"/>
              <w:spacing w:before="110"/>
              <w:ind w:left="345"/>
              <w:rPr>
                <w:sz w:val="19"/>
              </w:rPr>
            </w:pPr>
            <w:r>
              <w:rPr>
                <w:sz w:val="19"/>
              </w:rPr>
              <w:t>$15.00</w:t>
            </w:r>
            <w:r>
              <w:rPr>
                <w:spacing w:val="-4"/>
                <w:sz w:val="19"/>
              </w:rPr>
              <w:t> </w:t>
            </w:r>
            <w:r>
              <w:rPr>
                <w:sz w:val="19"/>
              </w:rPr>
              <w:t>per</w:t>
            </w:r>
            <w:r>
              <w:rPr>
                <w:spacing w:val="20"/>
                <w:sz w:val="19"/>
              </w:rPr>
              <w:t> </w:t>
            </w:r>
            <w:r>
              <w:rPr>
                <w:spacing w:val="-4"/>
                <w:sz w:val="19"/>
              </w:rPr>
              <w:t>night</w:t>
            </w:r>
          </w:p>
        </w:tc>
      </w:tr>
      <w:tr>
        <w:trPr>
          <w:trHeight w:val="457" w:hRule="atLeast"/>
        </w:trPr>
        <w:tc>
          <w:tcPr>
            <w:tcW w:w="2598" w:type="dxa"/>
          </w:tcPr>
          <w:p>
            <w:pPr>
              <w:pStyle w:val="TableParagraph"/>
              <w:spacing w:before="110"/>
              <w:ind w:left="50"/>
              <w:rPr>
                <w:sz w:val="19"/>
              </w:rPr>
            </w:pPr>
            <w:r>
              <w:rPr>
                <w:sz w:val="19"/>
              </w:rPr>
              <w:t>USPS,</w:t>
            </w:r>
            <w:r>
              <w:rPr>
                <w:spacing w:val="-4"/>
                <w:sz w:val="19"/>
              </w:rPr>
              <w:t> </w:t>
            </w:r>
            <w:r>
              <w:rPr>
                <w:sz w:val="19"/>
              </w:rPr>
              <w:t>Faculty</w:t>
            </w:r>
            <w:r>
              <w:rPr>
                <w:spacing w:val="6"/>
                <w:sz w:val="19"/>
              </w:rPr>
              <w:t> </w:t>
            </w:r>
            <w:r>
              <w:rPr>
                <w:sz w:val="19"/>
              </w:rPr>
              <w:t>&amp;</w:t>
            </w:r>
            <w:r>
              <w:rPr>
                <w:spacing w:val="1"/>
                <w:sz w:val="19"/>
              </w:rPr>
              <w:t> </w:t>
            </w:r>
            <w:r>
              <w:rPr>
                <w:spacing w:val="-5"/>
                <w:sz w:val="19"/>
              </w:rPr>
              <w:t>A&amp;P</w:t>
            </w:r>
          </w:p>
        </w:tc>
        <w:tc>
          <w:tcPr>
            <w:tcW w:w="2356" w:type="dxa"/>
          </w:tcPr>
          <w:p>
            <w:pPr>
              <w:pStyle w:val="TableParagraph"/>
              <w:rPr>
                <w:sz w:val="18"/>
              </w:rPr>
            </w:pPr>
          </w:p>
        </w:tc>
        <w:tc>
          <w:tcPr>
            <w:tcW w:w="1804" w:type="dxa"/>
          </w:tcPr>
          <w:p>
            <w:pPr>
              <w:pStyle w:val="TableParagraph"/>
              <w:spacing w:before="110"/>
              <w:ind w:left="345"/>
              <w:rPr>
                <w:sz w:val="19"/>
              </w:rPr>
            </w:pPr>
            <w:r>
              <w:rPr>
                <w:sz w:val="19"/>
              </w:rPr>
              <w:t>$15.00</w:t>
            </w:r>
            <w:r>
              <w:rPr>
                <w:spacing w:val="-4"/>
                <w:sz w:val="19"/>
              </w:rPr>
              <w:t> </w:t>
            </w:r>
            <w:r>
              <w:rPr>
                <w:sz w:val="19"/>
              </w:rPr>
              <w:t>per</w:t>
            </w:r>
            <w:r>
              <w:rPr>
                <w:spacing w:val="20"/>
                <w:sz w:val="19"/>
              </w:rPr>
              <w:t> </w:t>
            </w:r>
            <w:r>
              <w:rPr>
                <w:spacing w:val="-4"/>
                <w:sz w:val="19"/>
              </w:rPr>
              <w:t>night</w:t>
            </w:r>
          </w:p>
        </w:tc>
      </w:tr>
      <w:tr>
        <w:trPr>
          <w:trHeight w:val="457" w:hRule="atLeast"/>
        </w:trPr>
        <w:tc>
          <w:tcPr>
            <w:tcW w:w="2598" w:type="dxa"/>
          </w:tcPr>
          <w:p>
            <w:pPr>
              <w:pStyle w:val="TableParagraph"/>
              <w:spacing w:before="120"/>
              <w:ind w:left="50"/>
              <w:rPr>
                <w:sz w:val="19"/>
              </w:rPr>
            </w:pPr>
            <w:r>
              <w:rPr>
                <w:color w:val="0101FF"/>
                <w:sz w:val="19"/>
              </w:rPr>
              <w:t>Research</w:t>
            </w:r>
            <w:r>
              <w:rPr>
                <w:color w:val="0101FF"/>
                <w:spacing w:val="5"/>
                <w:sz w:val="19"/>
              </w:rPr>
              <w:t> </w:t>
            </w:r>
            <w:r>
              <w:rPr>
                <w:color w:val="0101FF"/>
                <w:sz w:val="19"/>
              </w:rPr>
              <w:t>and</w:t>
            </w:r>
            <w:r>
              <w:rPr>
                <w:color w:val="0101FF"/>
                <w:spacing w:val="6"/>
                <w:sz w:val="19"/>
              </w:rPr>
              <w:t> </w:t>
            </w:r>
            <w:r>
              <w:rPr>
                <w:color w:val="0101FF"/>
                <w:spacing w:val="-2"/>
                <w:sz w:val="19"/>
              </w:rPr>
              <w:t>Development</w:t>
            </w:r>
          </w:p>
        </w:tc>
        <w:tc>
          <w:tcPr>
            <w:tcW w:w="2356" w:type="dxa"/>
          </w:tcPr>
          <w:p>
            <w:pPr>
              <w:pStyle w:val="TableParagraph"/>
              <w:rPr>
                <w:sz w:val="18"/>
              </w:rPr>
            </w:pPr>
          </w:p>
        </w:tc>
        <w:tc>
          <w:tcPr>
            <w:tcW w:w="1804" w:type="dxa"/>
          </w:tcPr>
          <w:p>
            <w:pPr>
              <w:pStyle w:val="TableParagraph"/>
              <w:spacing w:before="120"/>
              <w:ind w:left="345"/>
              <w:rPr>
                <w:sz w:val="19"/>
              </w:rPr>
            </w:pPr>
            <w:r>
              <w:rPr>
                <w:color w:val="0101FF"/>
                <w:sz w:val="19"/>
              </w:rPr>
              <w:t>$15.00</w:t>
            </w:r>
            <w:r>
              <w:rPr>
                <w:color w:val="0101FF"/>
                <w:spacing w:val="-4"/>
                <w:sz w:val="19"/>
              </w:rPr>
              <w:t> </w:t>
            </w:r>
            <w:r>
              <w:rPr>
                <w:color w:val="0101FF"/>
                <w:sz w:val="19"/>
              </w:rPr>
              <w:t>per</w:t>
            </w:r>
            <w:r>
              <w:rPr>
                <w:color w:val="0101FF"/>
                <w:spacing w:val="22"/>
                <w:sz w:val="19"/>
              </w:rPr>
              <w:t> </w:t>
            </w:r>
            <w:r>
              <w:rPr>
                <w:color w:val="0101FF"/>
                <w:spacing w:val="-2"/>
                <w:sz w:val="19"/>
              </w:rPr>
              <w:t>night</w:t>
            </w:r>
          </w:p>
        </w:tc>
      </w:tr>
      <w:tr>
        <w:trPr>
          <w:trHeight w:val="446" w:hRule="atLeast"/>
        </w:trPr>
        <w:tc>
          <w:tcPr>
            <w:tcW w:w="2598" w:type="dxa"/>
          </w:tcPr>
          <w:p>
            <w:pPr>
              <w:pStyle w:val="TableParagraph"/>
              <w:spacing w:before="109"/>
              <w:ind w:left="50"/>
              <w:rPr>
                <w:sz w:val="19"/>
              </w:rPr>
            </w:pPr>
            <w:r>
              <w:rPr>
                <w:sz w:val="19"/>
              </w:rPr>
              <w:t>General</w:t>
            </w:r>
            <w:r>
              <w:rPr>
                <w:spacing w:val="-4"/>
                <w:sz w:val="19"/>
              </w:rPr>
              <w:t> </w:t>
            </w:r>
            <w:r>
              <w:rPr>
                <w:spacing w:val="-2"/>
                <w:sz w:val="19"/>
              </w:rPr>
              <w:t>Public</w:t>
            </w:r>
          </w:p>
        </w:tc>
        <w:tc>
          <w:tcPr>
            <w:tcW w:w="2356" w:type="dxa"/>
          </w:tcPr>
          <w:p>
            <w:pPr>
              <w:pStyle w:val="TableParagraph"/>
              <w:rPr>
                <w:sz w:val="18"/>
              </w:rPr>
            </w:pPr>
          </w:p>
        </w:tc>
        <w:tc>
          <w:tcPr>
            <w:tcW w:w="1804" w:type="dxa"/>
          </w:tcPr>
          <w:p>
            <w:pPr>
              <w:pStyle w:val="TableParagraph"/>
              <w:spacing w:before="109"/>
              <w:ind w:left="345"/>
              <w:rPr>
                <w:sz w:val="19"/>
              </w:rPr>
            </w:pPr>
            <w:r>
              <w:rPr>
                <w:sz w:val="19"/>
              </w:rPr>
              <w:t>$21.00</w:t>
            </w:r>
            <w:r>
              <w:rPr>
                <w:spacing w:val="-4"/>
                <w:sz w:val="19"/>
              </w:rPr>
              <w:t> </w:t>
            </w:r>
            <w:r>
              <w:rPr>
                <w:sz w:val="19"/>
              </w:rPr>
              <w:t>per</w:t>
            </w:r>
            <w:r>
              <w:rPr>
                <w:spacing w:val="22"/>
                <w:sz w:val="19"/>
              </w:rPr>
              <w:t> </w:t>
            </w:r>
            <w:r>
              <w:rPr>
                <w:spacing w:val="-2"/>
                <w:sz w:val="19"/>
              </w:rPr>
              <w:t>night</w:t>
            </w:r>
          </w:p>
        </w:tc>
      </w:tr>
      <w:tr>
        <w:trPr>
          <w:trHeight w:val="447" w:hRule="atLeast"/>
        </w:trPr>
        <w:tc>
          <w:tcPr>
            <w:tcW w:w="2598" w:type="dxa"/>
          </w:tcPr>
          <w:p>
            <w:pPr>
              <w:pStyle w:val="TableParagraph"/>
              <w:spacing w:before="110"/>
              <w:ind w:left="50"/>
              <w:rPr>
                <w:sz w:val="19"/>
              </w:rPr>
            </w:pPr>
            <w:r>
              <w:rPr>
                <w:sz w:val="19"/>
              </w:rPr>
              <w:t>Weekly</w:t>
            </w:r>
            <w:r>
              <w:rPr>
                <w:spacing w:val="-6"/>
                <w:sz w:val="19"/>
              </w:rPr>
              <w:t> </w:t>
            </w:r>
            <w:r>
              <w:rPr>
                <w:sz w:val="19"/>
              </w:rPr>
              <w:t>(M-</w:t>
            </w:r>
            <w:r>
              <w:rPr>
                <w:spacing w:val="-5"/>
                <w:sz w:val="19"/>
              </w:rPr>
              <w:t>TH)</w:t>
            </w:r>
          </w:p>
        </w:tc>
        <w:tc>
          <w:tcPr>
            <w:tcW w:w="2356" w:type="dxa"/>
          </w:tcPr>
          <w:p>
            <w:pPr>
              <w:pStyle w:val="TableParagraph"/>
              <w:rPr>
                <w:sz w:val="18"/>
              </w:rPr>
            </w:pPr>
          </w:p>
        </w:tc>
        <w:tc>
          <w:tcPr>
            <w:tcW w:w="1804" w:type="dxa"/>
          </w:tcPr>
          <w:p>
            <w:pPr>
              <w:pStyle w:val="TableParagraph"/>
              <w:spacing w:before="110"/>
              <w:ind w:left="345"/>
              <w:rPr>
                <w:sz w:val="19"/>
              </w:rPr>
            </w:pPr>
            <w:r>
              <w:rPr>
                <w:sz w:val="19"/>
              </w:rPr>
              <w:t>$40.00</w:t>
            </w:r>
            <w:r>
              <w:rPr>
                <w:spacing w:val="-4"/>
                <w:sz w:val="19"/>
              </w:rPr>
              <w:t> </w:t>
            </w:r>
            <w:r>
              <w:rPr>
                <w:sz w:val="19"/>
              </w:rPr>
              <w:t>per</w:t>
            </w:r>
            <w:r>
              <w:rPr>
                <w:spacing w:val="22"/>
                <w:sz w:val="19"/>
              </w:rPr>
              <w:t> </w:t>
            </w:r>
            <w:r>
              <w:rPr>
                <w:spacing w:val="-4"/>
                <w:sz w:val="19"/>
              </w:rPr>
              <w:t>week</w:t>
            </w:r>
          </w:p>
        </w:tc>
      </w:tr>
      <w:tr>
        <w:trPr>
          <w:trHeight w:val="891" w:hRule="atLeast"/>
        </w:trPr>
        <w:tc>
          <w:tcPr>
            <w:tcW w:w="2598" w:type="dxa"/>
          </w:tcPr>
          <w:p>
            <w:pPr>
              <w:pStyle w:val="TableParagraph"/>
              <w:spacing w:before="111"/>
              <w:ind w:left="50"/>
              <w:rPr>
                <w:sz w:val="19"/>
              </w:rPr>
            </w:pPr>
            <w:r>
              <w:rPr>
                <w:sz w:val="19"/>
              </w:rPr>
              <w:t>Registration</w:t>
            </w:r>
            <w:r>
              <w:rPr>
                <w:spacing w:val="-3"/>
                <w:sz w:val="19"/>
              </w:rPr>
              <w:t> </w:t>
            </w:r>
            <w:r>
              <w:rPr>
                <w:spacing w:val="-5"/>
                <w:sz w:val="19"/>
              </w:rPr>
              <w:t>Fee</w:t>
            </w:r>
          </w:p>
        </w:tc>
        <w:tc>
          <w:tcPr>
            <w:tcW w:w="2356" w:type="dxa"/>
          </w:tcPr>
          <w:p>
            <w:pPr>
              <w:pStyle w:val="TableParagraph"/>
              <w:rPr>
                <w:sz w:val="18"/>
              </w:rPr>
            </w:pPr>
          </w:p>
        </w:tc>
        <w:tc>
          <w:tcPr>
            <w:tcW w:w="1804" w:type="dxa"/>
          </w:tcPr>
          <w:p>
            <w:pPr>
              <w:pStyle w:val="TableParagraph"/>
              <w:spacing w:line="244" w:lineRule="auto" w:before="111"/>
              <w:ind w:left="344" w:right="134"/>
              <w:rPr>
                <w:sz w:val="19"/>
              </w:rPr>
            </w:pPr>
            <w:r>
              <w:rPr>
                <w:sz w:val="19"/>
              </w:rPr>
              <w:t>$50.00</w:t>
            </w:r>
            <w:r>
              <w:rPr>
                <w:spacing w:val="-12"/>
                <w:sz w:val="19"/>
              </w:rPr>
              <w:t> </w:t>
            </w:r>
            <w:r>
              <w:rPr>
                <w:sz w:val="19"/>
              </w:rPr>
              <w:t>per</w:t>
            </w:r>
            <w:r>
              <w:rPr>
                <w:spacing w:val="5"/>
                <w:sz w:val="19"/>
              </w:rPr>
              <w:t> </w:t>
            </w:r>
            <w:r>
              <w:rPr>
                <w:sz w:val="19"/>
              </w:rPr>
              <w:t>child/ </w:t>
            </w:r>
            <w:r>
              <w:rPr>
                <w:spacing w:val="-2"/>
                <w:sz w:val="19"/>
              </w:rPr>
              <w:t>non-refundable </w:t>
            </w:r>
            <w:r>
              <w:rPr>
                <w:sz w:val="19"/>
              </w:rPr>
              <w:t>one-time fee</w:t>
            </w:r>
          </w:p>
        </w:tc>
      </w:tr>
      <w:tr>
        <w:trPr>
          <w:trHeight w:val="336" w:hRule="atLeast"/>
        </w:trPr>
        <w:tc>
          <w:tcPr>
            <w:tcW w:w="2598" w:type="dxa"/>
          </w:tcPr>
          <w:p>
            <w:pPr>
              <w:pStyle w:val="TableParagraph"/>
              <w:spacing w:line="206" w:lineRule="exact" w:before="110"/>
              <w:ind w:left="50"/>
              <w:rPr>
                <w:sz w:val="19"/>
              </w:rPr>
            </w:pPr>
            <w:r>
              <w:rPr>
                <w:sz w:val="19"/>
              </w:rPr>
              <w:t>Supply</w:t>
            </w:r>
            <w:r>
              <w:rPr>
                <w:spacing w:val="-5"/>
                <w:sz w:val="19"/>
              </w:rPr>
              <w:t> Fee</w:t>
            </w:r>
          </w:p>
        </w:tc>
        <w:tc>
          <w:tcPr>
            <w:tcW w:w="2356" w:type="dxa"/>
          </w:tcPr>
          <w:p>
            <w:pPr>
              <w:pStyle w:val="TableParagraph"/>
              <w:rPr>
                <w:sz w:val="18"/>
              </w:rPr>
            </w:pPr>
          </w:p>
        </w:tc>
        <w:tc>
          <w:tcPr>
            <w:tcW w:w="1804" w:type="dxa"/>
          </w:tcPr>
          <w:p>
            <w:pPr>
              <w:pStyle w:val="TableParagraph"/>
              <w:spacing w:line="206" w:lineRule="exact" w:before="110"/>
              <w:ind w:left="344"/>
              <w:rPr>
                <w:sz w:val="19"/>
              </w:rPr>
            </w:pPr>
            <w:r>
              <w:rPr>
                <w:sz w:val="19"/>
              </w:rPr>
              <w:t>$30.00</w:t>
            </w:r>
            <w:r>
              <w:rPr>
                <w:spacing w:val="-4"/>
                <w:sz w:val="19"/>
              </w:rPr>
              <w:t> </w:t>
            </w:r>
            <w:r>
              <w:rPr>
                <w:sz w:val="19"/>
              </w:rPr>
              <w:t>per</w:t>
            </w:r>
            <w:r>
              <w:rPr>
                <w:spacing w:val="-3"/>
                <w:sz w:val="19"/>
              </w:rPr>
              <w:t> </w:t>
            </w:r>
            <w:r>
              <w:rPr>
                <w:spacing w:val="-2"/>
                <w:sz w:val="19"/>
              </w:rPr>
              <w:t>family/</w:t>
            </w:r>
          </w:p>
        </w:tc>
      </w:tr>
      <w:tr>
        <w:trPr>
          <w:trHeight w:val="217" w:hRule="atLeast"/>
        </w:trPr>
        <w:tc>
          <w:tcPr>
            <w:tcW w:w="2598" w:type="dxa"/>
          </w:tcPr>
          <w:p>
            <w:pPr>
              <w:pStyle w:val="TableParagraph"/>
              <w:rPr>
                <w:sz w:val="14"/>
              </w:rPr>
            </w:pPr>
          </w:p>
        </w:tc>
        <w:tc>
          <w:tcPr>
            <w:tcW w:w="2356" w:type="dxa"/>
          </w:tcPr>
          <w:p>
            <w:pPr>
              <w:pStyle w:val="TableParagraph"/>
              <w:rPr>
                <w:sz w:val="14"/>
              </w:rPr>
            </w:pPr>
          </w:p>
        </w:tc>
        <w:tc>
          <w:tcPr>
            <w:tcW w:w="1804" w:type="dxa"/>
          </w:tcPr>
          <w:p>
            <w:pPr>
              <w:pStyle w:val="TableParagraph"/>
              <w:spacing w:line="198" w:lineRule="exact"/>
              <w:ind w:left="344"/>
              <w:rPr>
                <w:sz w:val="19"/>
              </w:rPr>
            </w:pPr>
            <w:r>
              <w:rPr>
                <w:sz w:val="19"/>
              </w:rPr>
              <w:t>per</w:t>
            </w:r>
            <w:r>
              <w:rPr>
                <w:spacing w:val="-4"/>
                <w:sz w:val="19"/>
              </w:rPr>
              <w:t> </w:t>
            </w:r>
            <w:r>
              <w:rPr>
                <w:spacing w:val="-2"/>
                <w:sz w:val="19"/>
              </w:rPr>
              <w:t>semester</w:t>
            </w:r>
          </w:p>
        </w:tc>
      </w:tr>
    </w:tbl>
    <w:p>
      <w:pPr>
        <w:pStyle w:val="BodyText"/>
        <w:spacing w:before="2"/>
        <w:rPr>
          <w:sz w:val="12"/>
        </w:rPr>
      </w:pPr>
    </w:p>
    <w:p>
      <w:pPr>
        <w:spacing w:before="91"/>
        <w:ind w:left="366" w:right="0" w:firstLine="0"/>
        <w:jc w:val="left"/>
        <w:rPr>
          <w:i/>
          <w:sz w:val="19"/>
        </w:rPr>
      </w:pPr>
      <w:r>
        <w:rPr>
          <w:i/>
          <w:sz w:val="19"/>
        </w:rPr>
        <w:t>Specific</w:t>
      </w:r>
      <w:r>
        <w:rPr>
          <w:i/>
          <w:spacing w:val="-8"/>
          <w:sz w:val="19"/>
        </w:rPr>
        <w:t> </w:t>
      </w:r>
      <w:r>
        <w:rPr>
          <w:i/>
          <w:sz w:val="19"/>
        </w:rPr>
        <w:t>Authority</w:t>
      </w:r>
      <w:r>
        <w:rPr>
          <w:i/>
          <w:spacing w:val="-8"/>
          <w:sz w:val="19"/>
        </w:rPr>
        <w:t> </w:t>
      </w:r>
      <w:r>
        <w:rPr>
          <w:i/>
          <w:sz w:val="19"/>
        </w:rPr>
        <w:t>1001.74(4),</w:t>
      </w:r>
      <w:r>
        <w:rPr>
          <w:i/>
          <w:spacing w:val="-6"/>
          <w:sz w:val="19"/>
        </w:rPr>
        <w:t> </w:t>
      </w:r>
      <w:r>
        <w:rPr>
          <w:i/>
          <w:sz w:val="19"/>
        </w:rPr>
        <w:t>(11),</w:t>
      </w:r>
      <w:r>
        <w:rPr>
          <w:i/>
          <w:spacing w:val="-7"/>
          <w:sz w:val="19"/>
        </w:rPr>
        <w:t> </w:t>
      </w:r>
      <w:r>
        <w:rPr>
          <w:i/>
          <w:sz w:val="19"/>
        </w:rPr>
        <w:t>FS.</w:t>
      </w:r>
      <w:r>
        <w:rPr>
          <w:i/>
          <w:spacing w:val="-7"/>
          <w:sz w:val="19"/>
        </w:rPr>
        <w:t> </w:t>
      </w:r>
      <w:r>
        <w:rPr>
          <w:i/>
          <w:sz w:val="19"/>
        </w:rPr>
        <w:t>Law</w:t>
      </w:r>
      <w:r>
        <w:rPr>
          <w:i/>
          <w:spacing w:val="-6"/>
          <w:sz w:val="19"/>
        </w:rPr>
        <w:t> </w:t>
      </w:r>
      <w:r>
        <w:rPr>
          <w:i/>
          <w:sz w:val="19"/>
        </w:rPr>
        <w:t>Implemented</w:t>
      </w:r>
      <w:r>
        <w:rPr>
          <w:i/>
          <w:spacing w:val="-9"/>
          <w:sz w:val="19"/>
        </w:rPr>
        <w:t> </w:t>
      </w:r>
      <w:r>
        <w:rPr>
          <w:i/>
          <w:sz w:val="19"/>
        </w:rPr>
        <w:t>1001.74(24),</w:t>
      </w:r>
      <w:r>
        <w:rPr>
          <w:i/>
          <w:spacing w:val="-9"/>
          <w:sz w:val="19"/>
        </w:rPr>
        <w:t> </w:t>
      </w:r>
      <w:r>
        <w:rPr>
          <w:i/>
          <w:sz w:val="19"/>
        </w:rPr>
        <w:t>1009.24,</w:t>
      </w:r>
      <w:r>
        <w:rPr>
          <w:i/>
          <w:spacing w:val="-9"/>
          <w:sz w:val="19"/>
        </w:rPr>
        <w:t> </w:t>
      </w:r>
      <w:r>
        <w:rPr>
          <w:i/>
          <w:spacing w:val="-2"/>
          <w:sz w:val="19"/>
        </w:rPr>
        <w:t>1009.25,</w:t>
      </w:r>
    </w:p>
    <w:p>
      <w:pPr>
        <w:tabs>
          <w:tab w:pos="7380" w:val="left" w:leader="none"/>
        </w:tabs>
        <w:spacing w:before="5"/>
        <w:ind w:left="366" w:right="0" w:firstLine="0"/>
        <w:jc w:val="left"/>
        <w:rPr>
          <w:i/>
          <w:sz w:val="19"/>
        </w:rPr>
      </w:pPr>
      <w:r>
        <w:rPr>
          <w:i/>
          <w:sz w:val="19"/>
        </w:rPr>
        <w:t>1009.26,</w:t>
      </w:r>
      <w:r>
        <w:rPr>
          <w:i/>
          <w:spacing w:val="1"/>
          <w:sz w:val="19"/>
        </w:rPr>
        <w:t> </w:t>
      </w:r>
      <w:r>
        <w:rPr>
          <w:i/>
          <w:sz w:val="19"/>
        </w:rPr>
        <w:t>1009.27,</w:t>
      </w:r>
      <w:r>
        <w:rPr>
          <w:i/>
          <w:spacing w:val="1"/>
          <w:sz w:val="19"/>
        </w:rPr>
        <w:t> </w:t>
      </w:r>
      <w:r>
        <w:rPr>
          <w:i/>
          <w:sz w:val="19"/>
        </w:rPr>
        <w:t>1011.48(3)</w:t>
      </w:r>
      <w:r>
        <w:rPr>
          <w:i/>
          <w:spacing w:val="3"/>
          <w:sz w:val="19"/>
        </w:rPr>
        <w:t> </w:t>
      </w:r>
      <w:r>
        <w:rPr>
          <w:i/>
          <w:sz w:val="19"/>
        </w:rPr>
        <w:t>FS.</w:t>
      </w:r>
      <w:r>
        <w:rPr>
          <w:i/>
          <w:spacing w:val="5"/>
          <w:sz w:val="19"/>
        </w:rPr>
        <w:t> </w:t>
      </w:r>
      <w:r>
        <w:rPr>
          <w:i/>
          <w:sz w:val="19"/>
        </w:rPr>
        <w:t>History –</w:t>
      </w:r>
      <w:r>
        <w:rPr>
          <w:i/>
          <w:spacing w:val="6"/>
          <w:sz w:val="19"/>
        </w:rPr>
        <w:t> </w:t>
      </w:r>
      <w:r>
        <w:rPr>
          <w:i/>
          <w:sz w:val="19"/>
        </w:rPr>
        <w:t>New</w:t>
      </w:r>
      <w:r>
        <w:rPr>
          <w:i/>
          <w:spacing w:val="4"/>
          <w:sz w:val="19"/>
        </w:rPr>
        <w:t> </w:t>
      </w:r>
      <w:r>
        <w:rPr>
          <w:i/>
          <w:sz w:val="19"/>
        </w:rPr>
        <w:t>5-2-04,</w:t>
      </w:r>
      <w:r>
        <w:rPr>
          <w:i/>
          <w:spacing w:val="3"/>
          <w:sz w:val="19"/>
        </w:rPr>
        <w:t> </w:t>
      </w:r>
      <w:r>
        <w:rPr>
          <w:i/>
          <w:sz w:val="19"/>
        </w:rPr>
        <w:t>Amended</w:t>
      </w:r>
      <w:r>
        <w:rPr>
          <w:i/>
          <w:spacing w:val="4"/>
          <w:sz w:val="19"/>
        </w:rPr>
        <w:t> </w:t>
      </w:r>
      <w:r>
        <w:rPr>
          <w:i/>
          <w:sz w:val="19"/>
        </w:rPr>
        <w:t>3-20-05</w:t>
      </w:r>
      <w:r>
        <w:rPr>
          <w:i/>
          <w:color w:val="C00000"/>
          <w:sz w:val="19"/>
        </w:rPr>
        <w:t>,</w:t>
      </w:r>
      <w:r>
        <w:rPr>
          <w:i/>
          <w:color w:val="C00000"/>
          <w:spacing w:val="3"/>
          <w:sz w:val="19"/>
        </w:rPr>
        <w:t> </w:t>
      </w:r>
      <w:r>
        <w:rPr>
          <w:i/>
          <w:color w:val="C00000"/>
          <w:spacing w:val="-2"/>
          <w:sz w:val="19"/>
        </w:rPr>
        <w:t>Amended</w:t>
      </w:r>
      <w:r>
        <w:rPr>
          <w:i/>
          <w:color w:val="C00000"/>
          <w:sz w:val="19"/>
        </w:rPr>
        <w:tab/>
      </w:r>
      <w:r>
        <w:rPr>
          <w:i/>
          <w:color w:val="C00000"/>
          <w:spacing w:val="-5"/>
          <w:sz w:val="19"/>
        </w:rPr>
        <w:t>..</w:t>
      </w:r>
    </w:p>
    <w:p>
      <w:pPr>
        <w:pStyle w:val="Heading1"/>
        <w:spacing w:before="137"/>
      </w:pPr>
      <w:bookmarkStart w:name="6C9-8.1003 Payment of Tuition and Fees." w:id="5"/>
      <w:bookmarkEnd w:id="5"/>
      <w:r>
        <w:rPr>
          <w:b w:val="0"/>
        </w:rPr>
      </w:r>
      <w:r>
        <w:rPr/>
        <w:t>6C9-8.1003</w:t>
      </w:r>
      <w:r>
        <w:rPr>
          <w:spacing w:val="-6"/>
        </w:rPr>
        <w:t> </w:t>
      </w:r>
      <w:r>
        <w:rPr/>
        <w:t>Payment</w:t>
      </w:r>
      <w:r>
        <w:rPr>
          <w:spacing w:val="-7"/>
        </w:rPr>
        <w:t> </w:t>
      </w:r>
      <w:r>
        <w:rPr/>
        <w:t>of</w:t>
      </w:r>
      <w:r>
        <w:rPr>
          <w:spacing w:val="-6"/>
        </w:rPr>
        <w:t> </w:t>
      </w:r>
      <w:r>
        <w:rPr/>
        <w:t>Tuition</w:t>
      </w:r>
      <w:r>
        <w:rPr>
          <w:spacing w:val="-6"/>
        </w:rPr>
        <w:t> </w:t>
      </w:r>
      <w:r>
        <w:rPr/>
        <w:t>and</w:t>
      </w:r>
      <w:r>
        <w:rPr>
          <w:spacing w:val="-6"/>
        </w:rPr>
        <w:t> </w:t>
      </w:r>
      <w:r>
        <w:rPr>
          <w:spacing w:val="-2"/>
        </w:rPr>
        <w:t>Fees.</w:t>
      </w:r>
    </w:p>
    <w:p>
      <w:pPr>
        <w:spacing w:after="0"/>
        <w:sectPr>
          <w:pgSz w:w="12240" w:h="15840"/>
          <w:pgMar w:top="1420" w:bottom="280" w:left="800" w:right="1020"/>
        </w:sectPr>
      </w:pPr>
    </w:p>
    <w:p>
      <w:pPr>
        <w:pStyle w:val="ListParagraph"/>
        <w:numPr>
          <w:ilvl w:val="0"/>
          <w:numId w:val="4"/>
        </w:numPr>
        <w:tabs>
          <w:tab w:pos="1226" w:val="left" w:leader="none"/>
        </w:tabs>
        <w:spacing w:line="489" w:lineRule="auto" w:before="80" w:after="0"/>
        <w:ind w:left="366" w:right="2728" w:firstLine="580"/>
        <w:jc w:val="left"/>
        <w:rPr>
          <w:sz w:val="19"/>
        </w:rPr>
      </w:pPr>
      <w:r>
        <w:rPr>
          <w:sz w:val="19"/>
        </w:rPr>
        <w:t>The</w:t>
      </w:r>
      <w:r>
        <w:rPr>
          <w:spacing w:val="-3"/>
          <w:sz w:val="19"/>
        </w:rPr>
        <w:t> </w:t>
      </w:r>
      <w:r>
        <w:rPr>
          <w:sz w:val="19"/>
        </w:rPr>
        <w:t>University</w:t>
      </w:r>
      <w:r>
        <w:rPr>
          <w:spacing w:val="-2"/>
          <w:sz w:val="19"/>
        </w:rPr>
        <w:t> </w:t>
      </w:r>
      <w:r>
        <w:rPr>
          <w:sz w:val="19"/>
        </w:rPr>
        <w:t>of</w:t>
      </w:r>
      <w:r>
        <w:rPr>
          <w:spacing w:val="-4"/>
          <w:sz w:val="19"/>
        </w:rPr>
        <w:t> </w:t>
      </w:r>
      <w:r>
        <w:rPr>
          <w:sz w:val="19"/>
        </w:rPr>
        <w:t>North</w:t>
      </w:r>
      <w:r>
        <w:rPr>
          <w:spacing w:val="-2"/>
          <w:sz w:val="19"/>
        </w:rPr>
        <w:t> </w:t>
      </w:r>
      <w:r>
        <w:rPr>
          <w:sz w:val="19"/>
        </w:rPr>
        <w:t>Florida</w:t>
      </w:r>
      <w:r>
        <w:rPr>
          <w:spacing w:val="-6"/>
          <w:sz w:val="19"/>
        </w:rPr>
        <w:t> </w:t>
      </w:r>
      <w:r>
        <w:rPr>
          <w:sz w:val="19"/>
        </w:rPr>
        <w:t>Board</w:t>
      </w:r>
      <w:r>
        <w:rPr>
          <w:spacing w:val="-2"/>
          <w:sz w:val="19"/>
        </w:rPr>
        <w:t> </w:t>
      </w:r>
      <w:r>
        <w:rPr>
          <w:sz w:val="19"/>
        </w:rPr>
        <w:t>of</w:t>
      </w:r>
      <w:r>
        <w:rPr>
          <w:spacing w:val="-4"/>
          <w:sz w:val="19"/>
        </w:rPr>
        <w:t> </w:t>
      </w:r>
      <w:r>
        <w:rPr>
          <w:sz w:val="19"/>
        </w:rPr>
        <w:t>Trustees</w:t>
      </w:r>
      <w:r>
        <w:rPr>
          <w:spacing w:val="-2"/>
          <w:sz w:val="19"/>
        </w:rPr>
        <w:t> </w:t>
      </w:r>
      <w:r>
        <w:rPr>
          <w:sz w:val="19"/>
        </w:rPr>
        <w:t>approves</w:t>
      </w:r>
      <w:r>
        <w:rPr>
          <w:spacing w:val="-5"/>
          <w:sz w:val="19"/>
        </w:rPr>
        <w:t> </w:t>
      </w:r>
      <w:r>
        <w:rPr>
          <w:sz w:val="19"/>
        </w:rPr>
        <w:t>all</w:t>
      </w:r>
      <w:r>
        <w:rPr>
          <w:spacing w:val="-5"/>
          <w:sz w:val="19"/>
        </w:rPr>
        <w:t> </w:t>
      </w:r>
      <w:r>
        <w:rPr>
          <w:sz w:val="19"/>
        </w:rPr>
        <w:t>schedules</w:t>
      </w:r>
      <w:r>
        <w:rPr>
          <w:spacing w:val="-2"/>
          <w:sz w:val="19"/>
        </w:rPr>
        <w:t> </w:t>
      </w:r>
      <w:r>
        <w:rPr>
          <w:sz w:val="19"/>
        </w:rPr>
        <w:t>for</w:t>
      </w:r>
      <w:r>
        <w:rPr>
          <w:spacing w:val="-4"/>
          <w:sz w:val="19"/>
        </w:rPr>
        <w:t> </w:t>
      </w:r>
      <w:r>
        <w:rPr>
          <w:sz w:val="19"/>
        </w:rPr>
        <w:t>tuition, registration and special fees and fines to be assessed and collected by the University.</w:t>
      </w:r>
      <w:r>
        <w:rPr>
          <w:spacing w:val="40"/>
          <w:sz w:val="19"/>
        </w:rPr>
        <w:t> </w:t>
      </w:r>
      <w:r>
        <w:rPr>
          <w:sz w:val="19"/>
        </w:rPr>
        <w:t>Students are required to pay in accordance with the following procedures:</w:t>
      </w:r>
    </w:p>
    <w:p>
      <w:pPr>
        <w:pStyle w:val="ListParagraph"/>
        <w:numPr>
          <w:ilvl w:val="0"/>
          <w:numId w:val="4"/>
        </w:numPr>
        <w:tabs>
          <w:tab w:pos="1530" w:val="left" w:leader="none"/>
          <w:tab w:pos="1531" w:val="left" w:leader="none"/>
        </w:tabs>
        <w:spacing w:line="489" w:lineRule="auto" w:before="4" w:after="0"/>
        <w:ind w:left="366" w:right="2927" w:firstLine="580"/>
        <w:jc w:val="left"/>
        <w:rPr>
          <w:sz w:val="19"/>
        </w:rPr>
      </w:pPr>
      <w:r>
        <w:rPr>
          <w:sz w:val="19"/>
        </w:rPr>
        <w:t>Past Debts: Prior to registration for any term, students must satisfy all due/delinquent amounts owed to the University, unless other arrangements have been made.</w:t>
      </w:r>
    </w:p>
    <w:p>
      <w:pPr>
        <w:pStyle w:val="ListParagraph"/>
        <w:numPr>
          <w:ilvl w:val="0"/>
          <w:numId w:val="4"/>
        </w:numPr>
        <w:tabs>
          <w:tab w:pos="1530" w:val="left" w:leader="none"/>
          <w:tab w:pos="1531" w:val="left" w:leader="none"/>
        </w:tabs>
        <w:spacing w:line="215" w:lineRule="exact" w:before="0" w:after="0"/>
        <w:ind w:left="1530" w:right="0" w:hanging="584"/>
        <w:jc w:val="left"/>
        <w:rPr>
          <w:sz w:val="19"/>
        </w:rPr>
      </w:pPr>
      <w:r>
        <w:rPr>
          <w:sz w:val="19"/>
        </w:rPr>
        <w:t>A</w:t>
      </w:r>
      <w:r>
        <w:rPr>
          <w:spacing w:val="-5"/>
          <w:sz w:val="19"/>
        </w:rPr>
        <w:t> </w:t>
      </w:r>
      <w:r>
        <w:rPr>
          <w:sz w:val="19"/>
        </w:rPr>
        <w:t>student’s</w:t>
      </w:r>
      <w:r>
        <w:rPr>
          <w:spacing w:val="-4"/>
          <w:sz w:val="19"/>
        </w:rPr>
        <w:t> </w:t>
      </w:r>
      <w:r>
        <w:rPr>
          <w:sz w:val="19"/>
        </w:rPr>
        <w:t>registration</w:t>
      </w:r>
      <w:r>
        <w:rPr>
          <w:strike/>
          <w:color w:val="C00000"/>
          <w:spacing w:val="-6"/>
          <w:sz w:val="19"/>
        </w:rPr>
        <w:t> </w:t>
      </w:r>
      <w:r>
        <w:rPr>
          <w:strike/>
          <w:color w:val="C00000"/>
          <w:sz w:val="19"/>
        </w:rPr>
        <w:t>is</w:t>
      </w:r>
      <w:r>
        <w:rPr>
          <w:strike w:val="0"/>
          <w:color w:val="C00000"/>
          <w:spacing w:val="-4"/>
          <w:sz w:val="19"/>
        </w:rPr>
        <w:t> </w:t>
      </w:r>
      <w:r>
        <w:rPr>
          <w:strike w:val="0"/>
          <w:color w:val="C00000"/>
          <w:sz w:val="19"/>
        </w:rPr>
        <w:t>maybe</w:t>
      </w:r>
      <w:r>
        <w:rPr>
          <w:strike w:val="0"/>
          <w:color w:val="C00000"/>
          <w:spacing w:val="-5"/>
          <w:sz w:val="19"/>
        </w:rPr>
        <w:t> </w:t>
      </w:r>
      <w:r>
        <w:rPr>
          <w:strike w:val="0"/>
          <w:sz w:val="19"/>
        </w:rPr>
        <w:t>canceled</w:t>
      </w:r>
      <w:r>
        <w:rPr>
          <w:strike w:val="0"/>
          <w:spacing w:val="-4"/>
          <w:sz w:val="19"/>
        </w:rPr>
        <w:t> </w:t>
      </w:r>
      <w:r>
        <w:rPr>
          <w:strike w:val="0"/>
          <w:sz w:val="19"/>
        </w:rPr>
        <w:t>if</w:t>
      </w:r>
      <w:r>
        <w:rPr>
          <w:strike w:val="0"/>
          <w:spacing w:val="-6"/>
          <w:sz w:val="19"/>
        </w:rPr>
        <w:t> </w:t>
      </w:r>
      <w:r>
        <w:rPr>
          <w:strike w:val="0"/>
          <w:sz w:val="19"/>
        </w:rPr>
        <w:t>payment</w:t>
      </w:r>
      <w:r>
        <w:rPr>
          <w:strike w:val="0"/>
          <w:spacing w:val="-5"/>
          <w:sz w:val="19"/>
        </w:rPr>
        <w:t> </w:t>
      </w:r>
      <w:r>
        <w:rPr>
          <w:strike w:val="0"/>
          <w:sz w:val="19"/>
        </w:rPr>
        <w:t>of</w:t>
      </w:r>
      <w:r>
        <w:rPr>
          <w:strike w:val="0"/>
          <w:spacing w:val="-6"/>
          <w:sz w:val="19"/>
        </w:rPr>
        <w:t> </w:t>
      </w:r>
      <w:r>
        <w:rPr>
          <w:strike w:val="0"/>
          <w:sz w:val="19"/>
        </w:rPr>
        <w:t>fees</w:t>
      </w:r>
      <w:r>
        <w:rPr>
          <w:strike w:val="0"/>
          <w:spacing w:val="-4"/>
          <w:sz w:val="19"/>
        </w:rPr>
        <w:t> </w:t>
      </w:r>
      <w:r>
        <w:rPr>
          <w:strike w:val="0"/>
          <w:sz w:val="19"/>
        </w:rPr>
        <w:t>or</w:t>
      </w:r>
      <w:r>
        <w:rPr>
          <w:strike w:val="0"/>
          <w:spacing w:val="14"/>
          <w:sz w:val="19"/>
        </w:rPr>
        <w:t> </w:t>
      </w:r>
      <w:r>
        <w:rPr>
          <w:strike w:val="0"/>
          <w:spacing w:val="-2"/>
          <w:sz w:val="19"/>
        </w:rPr>
        <w:t>appropriate</w:t>
      </w:r>
    </w:p>
    <w:p>
      <w:pPr>
        <w:pStyle w:val="BodyText"/>
        <w:spacing w:before="1"/>
        <w:rPr>
          <w:sz w:val="12"/>
        </w:rPr>
      </w:pPr>
    </w:p>
    <w:p>
      <w:pPr>
        <w:pStyle w:val="BodyText"/>
        <w:spacing w:line="489" w:lineRule="auto" w:before="92"/>
        <w:ind w:left="366" w:right="2869"/>
      </w:pPr>
      <w:r>
        <w:rPr/>
        <w:t>arrangements</w:t>
      </w:r>
      <w:r>
        <w:rPr>
          <w:spacing w:val="-2"/>
        </w:rPr>
        <w:t> </w:t>
      </w:r>
      <w:r>
        <w:rPr/>
        <w:t>for</w:t>
      </w:r>
      <w:r>
        <w:rPr>
          <w:spacing w:val="-4"/>
        </w:rPr>
        <w:t> </w:t>
      </w:r>
      <w:r>
        <w:rPr/>
        <w:t>fee</w:t>
      </w:r>
      <w:r>
        <w:rPr>
          <w:spacing w:val="-3"/>
        </w:rPr>
        <w:t> </w:t>
      </w:r>
      <w:r>
        <w:rPr/>
        <w:t>payment</w:t>
      </w:r>
      <w:r>
        <w:rPr>
          <w:spacing w:val="-3"/>
        </w:rPr>
        <w:t> </w:t>
      </w:r>
      <w:r>
        <w:rPr/>
        <w:t>has</w:t>
      </w:r>
      <w:r>
        <w:rPr>
          <w:spacing w:val="-2"/>
        </w:rPr>
        <w:t> </w:t>
      </w:r>
      <w:r>
        <w:rPr/>
        <w:t>not</w:t>
      </w:r>
      <w:r>
        <w:rPr>
          <w:spacing w:val="-5"/>
        </w:rPr>
        <w:t> </w:t>
      </w:r>
      <w:r>
        <w:rPr/>
        <w:t>occurred</w:t>
      </w:r>
      <w:r>
        <w:rPr>
          <w:spacing w:val="-2"/>
        </w:rPr>
        <w:t> </w:t>
      </w:r>
      <w:r>
        <w:rPr/>
        <w:t>by</w:t>
      </w:r>
      <w:r>
        <w:rPr>
          <w:spacing w:val="-4"/>
        </w:rPr>
        <w:t> </w:t>
      </w:r>
      <w:r>
        <w:rPr/>
        <w:t>the</w:t>
      </w:r>
      <w:r>
        <w:rPr>
          <w:spacing w:val="-3"/>
        </w:rPr>
        <w:t> </w:t>
      </w:r>
      <w:r>
        <w:rPr/>
        <w:t>close</w:t>
      </w:r>
      <w:r>
        <w:rPr>
          <w:spacing w:val="-3"/>
        </w:rPr>
        <w:t> </w:t>
      </w:r>
      <w:r>
        <w:rPr/>
        <w:t>of</w:t>
      </w:r>
      <w:r>
        <w:rPr>
          <w:spacing w:val="-4"/>
        </w:rPr>
        <w:t> </w:t>
      </w:r>
      <w:r>
        <w:rPr/>
        <w:t>the</w:t>
      </w:r>
      <w:r>
        <w:rPr>
          <w:spacing w:val="-3"/>
        </w:rPr>
        <w:t> </w:t>
      </w:r>
      <w:r>
        <w:rPr/>
        <w:t>drop/add</w:t>
      </w:r>
      <w:r>
        <w:rPr>
          <w:spacing w:val="-4"/>
        </w:rPr>
        <w:t> </w:t>
      </w:r>
      <w:r>
        <w:rPr/>
        <w:t>period,</w:t>
      </w:r>
      <w:r>
        <w:rPr>
          <w:spacing w:val="-2"/>
        </w:rPr>
        <w:t> </w:t>
      </w:r>
      <w:r>
        <w:rPr/>
        <w:t>except</w:t>
      </w:r>
      <w:r>
        <w:rPr>
          <w:spacing w:val="-3"/>
        </w:rPr>
        <w:t> </w:t>
      </w:r>
      <w:r>
        <w:rPr/>
        <w:t>as provided for in paragraph (3)(b), below.</w:t>
      </w:r>
    </w:p>
    <w:p>
      <w:pPr>
        <w:pStyle w:val="ListParagraph"/>
        <w:numPr>
          <w:ilvl w:val="1"/>
          <w:numId w:val="4"/>
        </w:numPr>
        <w:tabs>
          <w:tab w:pos="1530" w:val="left" w:leader="none"/>
          <w:tab w:pos="1531" w:val="left" w:leader="none"/>
        </w:tabs>
        <w:spacing w:line="215" w:lineRule="exact" w:before="0" w:after="0"/>
        <w:ind w:left="1530" w:right="0" w:hanging="584"/>
        <w:jc w:val="left"/>
        <w:rPr>
          <w:sz w:val="19"/>
        </w:rPr>
      </w:pPr>
      <w:r>
        <w:rPr>
          <w:sz w:val="19"/>
        </w:rPr>
        <w:t>Registration</w:t>
      </w:r>
      <w:r>
        <w:rPr>
          <w:spacing w:val="-4"/>
          <w:sz w:val="19"/>
        </w:rPr>
        <w:t> </w:t>
      </w:r>
      <w:r>
        <w:rPr>
          <w:sz w:val="19"/>
        </w:rPr>
        <w:t>shall</w:t>
      </w:r>
      <w:r>
        <w:rPr>
          <w:spacing w:val="-5"/>
          <w:sz w:val="19"/>
        </w:rPr>
        <w:t> </w:t>
      </w:r>
      <w:r>
        <w:rPr>
          <w:sz w:val="19"/>
        </w:rPr>
        <w:t>be</w:t>
      </w:r>
      <w:r>
        <w:rPr>
          <w:spacing w:val="-8"/>
          <w:sz w:val="19"/>
        </w:rPr>
        <w:t> </w:t>
      </w:r>
      <w:r>
        <w:rPr>
          <w:sz w:val="19"/>
        </w:rPr>
        <w:t>defined</w:t>
      </w:r>
      <w:r>
        <w:rPr>
          <w:spacing w:val="-4"/>
          <w:sz w:val="19"/>
        </w:rPr>
        <w:t> </w:t>
      </w:r>
      <w:r>
        <w:rPr>
          <w:sz w:val="19"/>
        </w:rPr>
        <w:t>as</w:t>
      </w:r>
      <w:r>
        <w:rPr>
          <w:spacing w:val="-6"/>
          <w:sz w:val="19"/>
        </w:rPr>
        <w:t> </w:t>
      </w:r>
      <w:r>
        <w:rPr>
          <w:sz w:val="19"/>
        </w:rPr>
        <w:t>consisting</w:t>
      </w:r>
      <w:r>
        <w:rPr>
          <w:spacing w:val="-6"/>
          <w:sz w:val="19"/>
        </w:rPr>
        <w:t> </w:t>
      </w:r>
      <w:r>
        <w:rPr>
          <w:sz w:val="19"/>
        </w:rPr>
        <w:t>of</w:t>
      </w:r>
      <w:r>
        <w:rPr>
          <w:spacing w:val="-6"/>
          <w:sz w:val="19"/>
        </w:rPr>
        <w:t> </w:t>
      </w:r>
      <w:r>
        <w:rPr>
          <w:sz w:val="19"/>
        </w:rPr>
        <w:t>these</w:t>
      </w:r>
      <w:r>
        <w:rPr>
          <w:spacing w:val="5"/>
          <w:sz w:val="19"/>
        </w:rPr>
        <w:t> </w:t>
      </w:r>
      <w:r>
        <w:rPr>
          <w:spacing w:val="-2"/>
          <w:sz w:val="19"/>
        </w:rPr>
        <w:t>components:</w:t>
      </w:r>
    </w:p>
    <w:p>
      <w:pPr>
        <w:pStyle w:val="BodyText"/>
        <w:spacing w:before="2"/>
        <w:rPr>
          <w:sz w:val="20"/>
        </w:rPr>
      </w:pPr>
    </w:p>
    <w:p>
      <w:pPr>
        <w:pStyle w:val="ListParagraph"/>
        <w:numPr>
          <w:ilvl w:val="2"/>
          <w:numId w:val="4"/>
        </w:numPr>
        <w:tabs>
          <w:tab w:pos="1530" w:val="left" w:leader="none"/>
          <w:tab w:pos="1531" w:val="left" w:leader="none"/>
        </w:tabs>
        <w:spacing w:line="240" w:lineRule="auto" w:before="0" w:after="0"/>
        <w:ind w:left="1530" w:right="0" w:hanging="584"/>
        <w:jc w:val="left"/>
        <w:rPr>
          <w:sz w:val="19"/>
        </w:rPr>
      </w:pPr>
      <w:r>
        <w:rPr>
          <w:sz w:val="19"/>
        </w:rPr>
        <w:t>Provision</w:t>
      </w:r>
      <w:r>
        <w:rPr>
          <w:spacing w:val="-8"/>
          <w:sz w:val="19"/>
        </w:rPr>
        <w:t> </w:t>
      </w:r>
      <w:r>
        <w:rPr>
          <w:sz w:val="19"/>
        </w:rPr>
        <w:t>of</w:t>
      </w:r>
      <w:r>
        <w:rPr>
          <w:spacing w:val="-7"/>
          <w:sz w:val="19"/>
        </w:rPr>
        <w:t> </w:t>
      </w:r>
      <w:r>
        <w:rPr>
          <w:sz w:val="19"/>
        </w:rPr>
        <w:t>complete</w:t>
      </w:r>
      <w:r>
        <w:rPr>
          <w:spacing w:val="-7"/>
          <w:sz w:val="19"/>
        </w:rPr>
        <w:t> </w:t>
      </w:r>
      <w:r>
        <w:rPr>
          <w:sz w:val="19"/>
        </w:rPr>
        <w:t>and</w:t>
      </w:r>
      <w:r>
        <w:rPr>
          <w:spacing w:val="-6"/>
          <w:sz w:val="19"/>
        </w:rPr>
        <w:t> </w:t>
      </w:r>
      <w:r>
        <w:rPr>
          <w:sz w:val="19"/>
        </w:rPr>
        <w:t>accurate</w:t>
      </w:r>
      <w:r>
        <w:rPr>
          <w:spacing w:val="-7"/>
          <w:sz w:val="19"/>
        </w:rPr>
        <w:t> </w:t>
      </w:r>
      <w:r>
        <w:rPr>
          <w:sz w:val="19"/>
        </w:rPr>
        <w:t>background</w:t>
      </w:r>
      <w:r>
        <w:rPr>
          <w:spacing w:val="5"/>
          <w:sz w:val="19"/>
        </w:rPr>
        <w:t> </w:t>
      </w:r>
      <w:r>
        <w:rPr>
          <w:spacing w:val="-2"/>
          <w:sz w:val="19"/>
        </w:rPr>
        <w:t>information;</w:t>
      </w:r>
    </w:p>
    <w:p>
      <w:pPr>
        <w:pStyle w:val="BodyText"/>
        <w:spacing w:before="10"/>
      </w:pPr>
    </w:p>
    <w:p>
      <w:pPr>
        <w:pStyle w:val="ListParagraph"/>
        <w:numPr>
          <w:ilvl w:val="2"/>
          <w:numId w:val="4"/>
        </w:numPr>
        <w:tabs>
          <w:tab w:pos="1530" w:val="left" w:leader="none"/>
          <w:tab w:pos="1531" w:val="left" w:leader="none"/>
        </w:tabs>
        <w:spacing w:line="491" w:lineRule="auto" w:before="0" w:after="0"/>
        <w:ind w:left="366" w:right="3041" w:firstLine="580"/>
        <w:jc w:val="left"/>
        <w:rPr>
          <w:sz w:val="19"/>
        </w:rPr>
      </w:pPr>
      <w:r>
        <w:rPr>
          <w:sz w:val="19"/>
        </w:rPr>
        <w:t>Formal</w:t>
      </w:r>
      <w:r>
        <w:rPr>
          <w:spacing w:val="-3"/>
          <w:sz w:val="19"/>
        </w:rPr>
        <w:t> </w:t>
      </w:r>
      <w:r>
        <w:rPr>
          <w:sz w:val="19"/>
        </w:rPr>
        <w:t>selection</w:t>
      </w:r>
      <w:r>
        <w:rPr>
          <w:spacing w:val="-2"/>
          <w:sz w:val="19"/>
        </w:rPr>
        <w:t> </w:t>
      </w:r>
      <w:r>
        <w:rPr>
          <w:sz w:val="19"/>
        </w:rPr>
        <w:t>of</w:t>
      </w:r>
      <w:r>
        <w:rPr>
          <w:spacing w:val="-4"/>
          <w:sz w:val="19"/>
        </w:rPr>
        <w:t> </w:t>
      </w:r>
      <w:r>
        <w:rPr>
          <w:sz w:val="19"/>
        </w:rPr>
        <w:t>one</w:t>
      </w:r>
      <w:r>
        <w:rPr>
          <w:spacing w:val="-6"/>
          <w:sz w:val="19"/>
        </w:rPr>
        <w:t> </w:t>
      </w:r>
      <w:r>
        <w:rPr>
          <w:sz w:val="19"/>
        </w:rPr>
        <w:t>or</w:t>
      </w:r>
      <w:r>
        <w:rPr>
          <w:spacing w:val="-4"/>
          <w:sz w:val="19"/>
        </w:rPr>
        <w:t> </w:t>
      </w:r>
      <w:r>
        <w:rPr>
          <w:sz w:val="19"/>
        </w:rPr>
        <w:t>more</w:t>
      </w:r>
      <w:r>
        <w:rPr>
          <w:spacing w:val="-3"/>
          <w:sz w:val="19"/>
        </w:rPr>
        <w:t> </w:t>
      </w:r>
      <w:r>
        <w:rPr>
          <w:sz w:val="19"/>
        </w:rPr>
        <w:t>credit</w:t>
      </w:r>
      <w:r>
        <w:rPr>
          <w:spacing w:val="-3"/>
          <w:sz w:val="19"/>
        </w:rPr>
        <w:t> </w:t>
      </w:r>
      <w:r>
        <w:rPr>
          <w:sz w:val="19"/>
        </w:rPr>
        <w:t>courses</w:t>
      </w:r>
      <w:r>
        <w:rPr>
          <w:spacing w:val="-2"/>
          <w:sz w:val="19"/>
        </w:rPr>
        <w:t> </w:t>
      </w:r>
      <w:r>
        <w:rPr>
          <w:sz w:val="19"/>
        </w:rPr>
        <w:t>approved</w:t>
      </w:r>
      <w:r>
        <w:rPr>
          <w:spacing w:val="-4"/>
          <w:sz w:val="19"/>
        </w:rPr>
        <w:t> </w:t>
      </w:r>
      <w:r>
        <w:rPr>
          <w:sz w:val="19"/>
        </w:rPr>
        <w:t>and</w:t>
      </w:r>
      <w:r>
        <w:rPr>
          <w:spacing w:val="-4"/>
          <w:sz w:val="19"/>
        </w:rPr>
        <w:t> </w:t>
      </w:r>
      <w:r>
        <w:rPr>
          <w:sz w:val="19"/>
        </w:rPr>
        <w:t>schedule</w:t>
      </w:r>
      <w:r>
        <w:rPr>
          <w:spacing w:val="-6"/>
          <w:sz w:val="19"/>
        </w:rPr>
        <w:t> </w:t>
      </w:r>
      <w:r>
        <w:rPr>
          <w:sz w:val="19"/>
        </w:rPr>
        <w:t>by</w:t>
      </w:r>
      <w:r>
        <w:rPr>
          <w:spacing w:val="-2"/>
          <w:sz w:val="19"/>
        </w:rPr>
        <w:t> </w:t>
      </w:r>
      <w:r>
        <w:rPr>
          <w:sz w:val="19"/>
        </w:rPr>
        <w:t>the university; and</w:t>
      </w:r>
    </w:p>
    <w:p>
      <w:pPr>
        <w:pStyle w:val="ListParagraph"/>
        <w:numPr>
          <w:ilvl w:val="2"/>
          <w:numId w:val="4"/>
        </w:numPr>
        <w:tabs>
          <w:tab w:pos="1530" w:val="left" w:leader="none"/>
          <w:tab w:pos="1531" w:val="left" w:leader="none"/>
        </w:tabs>
        <w:spacing w:line="491" w:lineRule="auto" w:before="0" w:after="0"/>
        <w:ind w:left="366" w:right="2712" w:firstLine="580"/>
        <w:jc w:val="left"/>
        <w:rPr>
          <w:sz w:val="19"/>
        </w:rPr>
      </w:pPr>
      <w:r>
        <w:rPr>
          <w:sz w:val="19"/>
        </w:rPr>
        <w:t>Fee payment or other appropriate arrangements for fee payment (installment payment, deferment or third party billing). Fee liability shall be incurred at the point that the student has completed registration as defined above, including fee payment or other appropriate arrangements for payment. A student who has made a fee payment or made appropriate arrangements</w:t>
      </w:r>
      <w:r>
        <w:rPr>
          <w:spacing w:val="-2"/>
          <w:sz w:val="19"/>
        </w:rPr>
        <w:t> </w:t>
      </w:r>
      <w:r>
        <w:rPr>
          <w:sz w:val="19"/>
        </w:rPr>
        <w:t>for</w:t>
      </w:r>
      <w:r>
        <w:rPr>
          <w:spacing w:val="-4"/>
          <w:sz w:val="19"/>
        </w:rPr>
        <w:t> </w:t>
      </w:r>
      <w:r>
        <w:rPr>
          <w:sz w:val="19"/>
        </w:rPr>
        <w:t>fee</w:t>
      </w:r>
      <w:r>
        <w:rPr>
          <w:spacing w:val="-3"/>
          <w:sz w:val="19"/>
        </w:rPr>
        <w:t> </w:t>
      </w:r>
      <w:r>
        <w:rPr>
          <w:sz w:val="19"/>
        </w:rPr>
        <w:t>payment</w:t>
      </w:r>
      <w:r>
        <w:rPr>
          <w:spacing w:val="-3"/>
          <w:sz w:val="19"/>
        </w:rPr>
        <w:t> </w:t>
      </w:r>
      <w:r>
        <w:rPr>
          <w:sz w:val="19"/>
        </w:rPr>
        <w:t>shall</w:t>
      </w:r>
      <w:r>
        <w:rPr>
          <w:spacing w:val="-3"/>
          <w:sz w:val="19"/>
        </w:rPr>
        <w:t> </w:t>
      </w:r>
      <w:r>
        <w:rPr>
          <w:sz w:val="19"/>
        </w:rPr>
        <w:t>be</w:t>
      </w:r>
      <w:r>
        <w:rPr>
          <w:spacing w:val="-3"/>
          <w:sz w:val="19"/>
        </w:rPr>
        <w:t> </w:t>
      </w:r>
      <w:r>
        <w:rPr>
          <w:sz w:val="19"/>
        </w:rPr>
        <w:t>liable</w:t>
      </w:r>
      <w:r>
        <w:rPr>
          <w:spacing w:val="-3"/>
          <w:sz w:val="19"/>
        </w:rPr>
        <w:t> </w:t>
      </w:r>
      <w:r>
        <w:rPr>
          <w:sz w:val="19"/>
        </w:rPr>
        <w:t>for</w:t>
      </w:r>
      <w:r>
        <w:rPr>
          <w:spacing w:val="-4"/>
          <w:sz w:val="19"/>
        </w:rPr>
        <w:t> </w:t>
      </w:r>
      <w:r>
        <w:rPr>
          <w:sz w:val="19"/>
        </w:rPr>
        <w:t>all</w:t>
      </w:r>
      <w:r>
        <w:rPr>
          <w:spacing w:val="-3"/>
          <w:sz w:val="19"/>
        </w:rPr>
        <w:t> </w:t>
      </w:r>
      <w:r>
        <w:rPr>
          <w:sz w:val="19"/>
        </w:rPr>
        <w:t>courses</w:t>
      </w:r>
      <w:r>
        <w:rPr>
          <w:spacing w:val="-2"/>
          <w:sz w:val="19"/>
        </w:rPr>
        <w:t> </w:t>
      </w:r>
      <w:r>
        <w:rPr>
          <w:sz w:val="19"/>
        </w:rPr>
        <w:t>that</w:t>
      </w:r>
      <w:r>
        <w:rPr>
          <w:spacing w:val="-5"/>
          <w:sz w:val="19"/>
        </w:rPr>
        <w:t> </w:t>
      </w:r>
      <w:r>
        <w:rPr>
          <w:sz w:val="19"/>
        </w:rPr>
        <w:t>remain</w:t>
      </w:r>
      <w:r>
        <w:rPr>
          <w:spacing w:val="-2"/>
          <w:sz w:val="19"/>
        </w:rPr>
        <w:t> </w:t>
      </w:r>
      <w:r>
        <w:rPr>
          <w:sz w:val="19"/>
        </w:rPr>
        <w:t>on</w:t>
      </w:r>
      <w:r>
        <w:rPr>
          <w:spacing w:val="-2"/>
          <w:sz w:val="19"/>
        </w:rPr>
        <w:t> </w:t>
      </w:r>
      <w:r>
        <w:rPr>
          <w:sz w:val="19"/>
        </w:rPr>
        <w:t>his/her</w:t>
      </w:r>
      <w:r>
        <w:rPr>
          <w:spacing w:val="-4"/>
          <w:sz w:val="19"/>
        </w:rPr>
        <w:t> </w:t>
      </w:r>
      <w:r>
        <w:rPr>
          <w:sz w:val="19"/>
        </w:rPr>
        <w:t>class</w:t>
      </w:r>
      <w:r>
        <w:rPr>
          <w:spacing w:val="-2"/>
          <w:sz w:val="19"/>
        </w:rPr>
        <w:t> </w:t>
      </w:r>
      <w:r>
        <w:rPr>
          <w:sz w:val="19"/>
        </w:rPr>
        <w:t>schedule at the end of the drop/add period.</w:t>
      </w:r>
    </w:p>
    <w:p>
      <w:pPr>
        <w:pStyle w:val="ListParagraph"/>
        <w:numPr>
          <w:ilvl w:val="1"/>
          <w:numId w:val="4"/>
        </w:numPr>
        <w:tabs>
          <w:tab w:pos="1530" w:val="left" w:leader="none"/>
          <w:tab w:pos="1531" w:val="left" w:leader="none"/>
        </w:tabs>
        <w:spacing w:line="489" w:lineRule="auto" w:before="0" w:after="0"/>
        <w:ind w:left="366" w:right="3051" w:firstLine="580"/>
        <w:jc w:val="left"/>
        <w:rPr>
          <w:sz w:val="19"/>
        </w:rPr>
      </w:pPr>
      <w:r>
        <w:rPr>
          <w:sz w:val="19"/>
        </w:rPr>
        <w:t>The</w:t>
      </w:r>
      <w:r>
        <w:rPr>
          <w:spacing w:val="-4"/>
          <w:sz w:val="19"/>
        </w:rPr>
        <w:t> </w:t>
      </w:r>
      <w:r>
        <w:rPr>
          <w:sz w:val="19"/>
        </w:rPr>
        <w:t>president</w:t>
      </w:r>
      <w:r>
        <w:rPr>
          <w:spacing w:val="-4"/>
          <w:sz w:val="19"/>
        </w:rPr>
        <w:t> </w:t>
      </w:r>
      <w:r>
        <w:rPr>
          <w:sz w:val="19"/>
        </w:rPr>
        <w:t>will</w:t>
      </w:r>
      <w:r>
        <w:rPr>
          <w:spacing w:val="-4"/>
          <w:sz w:val="19"/>
        </w:rPr>
        <w:t> </w:t>
      </w:r>
      <w:r>
        <w:rPr>
          <w:sz w:val="19"/>
        </w:rPr>
        <w:t>extend</w:t>
      </w:r>
      <w:r>
        <w:rPr>
          <w:spacing w:val="-3"/>
          <w:sz w:val="19"/>
        </w:rPr>
        <w:t> </w:t>
      </w:r>
      <w:r>
        <w:rPr>
          <w:sz w:val="19"/>
        </w:rPr>
        <w:t>the</w:t>
      </w:r>
      <w:r>
        <w:rPr>
          <w:spacing w:val="-4"/>
          <w:sz w:val="19"/>
        </w:rPr>
        <w:t> </w:t>
      </w:r>
      <w:r>
        <w:rPr>
          <w:sz w:val="19"/>
        </w:rPr>
        <w:t>deadline</w:t>
      </w:r>
      <w:r>
        <w:rPr>
          <w:spacing w:val="-4"/>
          <w:sz w:val="19"/>
        </w:rPr>
        <w:t> </w:t>
      </w:r>
      <w:r>
        <w:rPr>
          <w:sz w:val="19"/>
        </w:rPr>
        <w:t>for</w:t>
      </w:r>
      <w:r>
        <w:rPr>
          <w:spacing w:val="-4"/>
          <w:sz w:val="19"/>
        </w:rPr>
        <w:t> </w:t>
      </w:r>
      <w:r>
        <w:rPr>
          <w:sz w:val="19"/>
        </w:rPr>
        <w:t>fee</w:t>
      </w:r>
      <w:r>
        <w:rPr>
          <w:spacing w:val="-4"/>
          <w:sz w:val="19"/>
        </w:rPr>
        <w:t> </w:t>
      </w:r>
      <w:r>
        <w:rPr>
          <w:sz w:val="19"/>
        </w:rPr>
        <w:t>payment</w:t>
      </w:r>
      <w:r>
        <w:rPr>
          <w:spacing w:val="-4"/>
          <w:sz w:val="19"/>
        </w:rPr>
        <w:t> </w:t>
      </w:r>
      <w:r>
        <w:rPr>
          <w:sz w:val="19"/>
        </w:rPr>
        <w:t>when</w:t>
      </w:r>
      <w:r>
        <w:rPr>
          <w:spacing w:val="-4"/>
          <w:sz w:val="19"/>
        </w:rPr>
        <w:t> </w:t>
      </w:r>
      <w:r>
        <w:rPr>
          <w:sz w:val="19"/>
        </w:rPr>
        <w:t>payment</w:t>
      </w:r>
      <w:r>
        <w:rPr>
          <w:spacing w:val="-4"/>
          <w:sz w:val="19"/>
        </w:rPr>
        <w:t> </w:t>
      </w:r>
      <w:r>
        <w:rPr>
          <w:sz w:val="19"/>
        </w:rPr>
        <w:t>by</w:t>
      </w:r>
      <w:r>
        <w:rPr>
          <w:spacing w:val="-3"/>
          <w:sz w:val="19"/>
        </w:rPr>
        <w:t> </w:t>
      </w:r>
      <w:r>
        <w:rPr>
          <w:sz w:val="19"/>
        </w:rPr>
        <w:t>the student is delayed due to University action or inaction.</w:t>
      </w:r>
    </w:p>
    <w:p>
      <w:pPr>
        <w:pStyle w:val="ListParagraph"/>
        <w:numPr>
          <w:ilvl w:val="1"/>
          <w:numId w:val="4"/>
        </w:numPr>
        <w:tabs>
          <w:tab w:pos="1530" w:val="left" w:leader="none"/>
          <w:tab w:pos="1531" w:val="left" w:leader="none"/>
        </w:tabs>
        <w:spacing w:line="489" w:lineRule="auto" w:before="0" w:after="0"/>
        <w:ind w:left="366" w:right="2816" w:firstLine="580"/>
        <w:jc w:val="left"/>
        <w:rPr>
          <w:sz w:val="19"/>
        </w:rPr>
      </w:pPr>
      <w:r>
        <w:rPr>
          <w:sz w:val="19"/>
        </w:rPr>
        <w:t>A</w:t>
      </w:r>
      <w:r>
        <w:rPr>
          <w:spacing w:val="-4"/>
          <w:sz w:val="19"/>
        </w:rPr>
        <w:t> </w:t>
      </w:r>
      <w:r>
        <w:rPr>
          <w:sz w:val="19"/>
        </w:rPr>
        <w:t>student</w:t>
      </w:r>
      <w:r>
        <w:rPr>
          <w:spacing w:val="-6"/>
          <w:sz w:val="19"/>
        </w:rPr>
        <w:t> </w:t>
      </w:r>
      <w:r>
        <w:rPr>
          <w:sz w:val="19"/>
        </w:rPr>
        <w:t>whose</w:t>
      </w:r>
      <w:r>
        <w:rPr>
          <w:spacing w:val="-4"/>
          <w:sz w:val="19"/>
        </w:rPr>
        <w:t> </w:t>
      </w:r>
      <w:r>
        <w:rPr>
          <w:sz w:val="19"/>
        </w:rPr>
        <w:t>registration</w:t>
      </w:r>
      <w:r>
        <w:rPr>
          <w:spacing w:val="-3"/>
          <w:sz w:val="19"/>
        </w:rPr>
        <w:t> </w:t>
      </w:r>
      <w:r>
        <w:rPr>
          <w:sz w:val="19"/>
        </w:rPr>
        <w:t>has</w:t>
      </w:r>
      <w:r>
        <w:rPr>
          <w:spacing w:val="-3"/>
          <w:sz w:val="19"/>
        </w:rPr>
        <w:t> </w:t>
      </w:r>
      <w:r>
        <w:rPr>
          <w:sz w:val="19"/>
        </w:rPr>
        <w:t>been</w:t>
      </w:r>
      <w:r>
        <w:rPr>
          <w:spacing w:val="-3"/>
          <w:sz w:val="19"/>
        </w:rPr>
        <w:t> </w:t>
      </w:r>
      <w:r>
        <w:rPr>
          <w:sz w:val="19"/>
        </w:rPr>
        <w:t>canceled</w:t>
      </w:r>
      <w:r>
        <w:rPr>
          <w:spacing w:val="-5"/>
          <w:sz w:val="19"/>
        </w:rPr>
        <w:t> </w:t>
      </w:r>
      <w:r>
        <w:rPr>
          <w:sz w:val="19"/>
        </w:rPr>
        <w:t>under</w:t>
      </w:r>
      <w:r>
        <w:rPr>
          <w:spacing w:val="-5"/>
          <w:sz w:val="19"/>
        </w:rPr>
        <w:t> </w:t>
      </w:r>
      <w:r>
        <w:rPr>
          <w:sz w:val="19"/>
        </w:rPr>
        <w:t>subsection</w:t>
      </w:r>
      <w:r>
        <w:rPr>
          <w:spacing w:val="-3"/>
          <w:sz w:val="19"/>
        </w:rPr>
        <w:t> </w:t>
      </w:r>
      <w:r>
        <w:rPr>
          <w:sz w:val="19"/>
        </w:rPr>
        <w:t>(3)</w:t>
      </w:r>
      <w:r>
        <w:rPr>
          <w:spacing w:val="-5"/>
          <w:sz w:val="19"/>
        </w:rPr>
        <w:t> </w:t>
      </w:r>
      <w:r>
        <w:rPr>
          <w:sz w:val="19"/>
        </w:rPr>
        <w:t>above</w:t>
      </w:r>
      <w:r>
        <w:rPr>
          <w:spacing w:val="-4"/>
          <w:sz w:val="19"/>
        </w:rPr>
        <w:t> </w:t>
      </w:r>
      <w:r>
        <w:rPr>
          <w:sz w:val="19"/>
        </w:rPr>
        <w:t>may be reinstated. To be reinstated, a student must:</w:t>
      </w:r>
    </w:p>
    <w:p>
      <w:pPr>
        <w:pStyle w:val="ListParagraph"/>
        <w:numPr>
          <w:ilvl w:val="2"/>
          <w:numId w:val="4"/>
        </w:numPr>
        <w:tabs>
          <w:tab w:pos="1530" w:val="left" w:leader="none"/>
          <w:tab w:pos="1531" w:val="left" w:leader="none"/>
        </w:tabs>
        <w:spacing w:line="489" w:lineRule="auto" w:before="0" w:after="0"/>
        <w:ind w:left="366" w:right="2762" w:firstLine="580"/>
        <w:jc w:val="left"/>
        <w:rPr>
          <w:sz w:val="19"/>
        </w:rPr>
      </w:pPr>
      <w:r>
        <w:rPr>
          <w:sz w:val="19"/>
        </w:rPr>
        <w:t>Apply</w:t>
      </w:r>
      <w:r>
        <w:rPr>
          <w:spacing w:val="-4"/>
          <w:sz w:val="19"/>
        </w:rPr>
        <w:t> </w:t>
      </w:r>
      <w:r>
        <w:rPr>
          <w:sz w:val="19"/>
        </w:rPr>
        <w:t>by</w:t>
      </w:r>
      <w:r>
        <w:rPr>
          <w:spacing w:val="-2"/>
          <w:sz w:val="19"/>
        </w:rPr>
        <w:t> </w:t>
      </w:r>
      <w:r>
        <w:rPr>
          <w:sz w:val="19"/>
        </w:rPr>
        <w:t>the</w:t>
      </w:r>
      <w:r>
        <w:rPr>
          <w:spacing w:val="-3"/>
          <w:sz w:val="19"/>
        </w:rPr>
        <w:t> </w:t>
      </w:r>
      <w:r>
        <w:rPr>
          <w:sz w:val="19"/>
        </w:rPr>
        <w:t>end</w:t>
      </w:r>
      <w:r>
        <w:rPr>
          <w:spacing w:val="-4"/>
          <w:sz w:val="19"/>
        </w:rPr>
        <w:t> </w:t>
      </w:r>
      <w:r>
        <w:rPr>
          <w:sz w:val="19"/>
        </w:rPr>
        <w:t>of</w:t>
      </w:r>
      <w:r>
        <w:rPr>
          <w:spacing w:val="-4"/>
          <w:sz w:val="19"/>
        </w:rPr>
        <w:t> </w:t>
      </w:r>
      <w:r>
        <w:rPr>
          <w:sz w:val="19"/>
        </w:rPr>
        <w:t>the</w:t>
      </w:r>
      <w:r>
        <w:rPr>
          <w:spacing w:val="-3"/>
          <w:sz w:val="19"/>
        </w:rPr>
        <w:t> </w:t>
      </w:r>
      <w:r>
        <w:rPr>
          <w:sz w:val="19"/>
        </w:rPr>
        <w:t>fourth</w:t>
      </w:r>
      <w:r>
        <w:rPr>
          <w:spacing w:val="-4"/>
          <w:sz w:val="19"/>
        </w:rPr>
        <w:t> </w:t>
      </w:r>
      <w:r>
        <w:rPr>
          <w:sz w:val="19"/>
        </w:rPr>
        <w:t>week</w:t>
      </w:r>
      <w:r>
        <w:rPr>
          <w:spacing w:val="-2"/>
          <w:sz w:val="19"/>
        </w:rPr>
        <w:t> </w:t>
      </w:r>
      <w:r>
        <w:rPr>
          <w:sz w:val="19"/>
        </w:rPr>
        <w:t>of</w:t>
      </w:r>
      <w:r>
        <w:rPr>
          <w:spacing w:val="-4"/>
          <w:sz w:val="19"/>
        </w:rPr>
        <w:t> </w:t>
      </w:r>
      <w:r>
        <w:rPr>
          <w:sz w:val="19"/>
        </w:rPr>
        <w:t>classes</w:t>
      </w:r>
      <w:r>
        <w:rPr>
          <w:spacing w:val="-2"/>
          <w:sz w:val="19"/>
        </w:rPr>
        <w:t> </w:t>
      </w:r>
      <w:r>
        <w:rPr>
          <w:sz w:val="19"/>
        </w:rPr>
        <w:t>for</w:t>
      </w:r>
      <w:r>
        <w:rPr>
          <w:spacing w:val="-4"/>
          <w:sz w:val="19"/>
        </w:rPr>
        <w:t> </w:t>
      </w:r>
      <w:r>
        <w:rPr>
          <w:sz w:val="19"/>
        </w:rPr>
        <w:t>reinstatement</w:t>
      </w:r>
      <w:r>
        <w:rPr>
          <w:spacing w:val="-3"/>
          <w:sz w:val="19"/>
        </w:rPr>
        <w:t> </w:t>
      </w:r>
      <w:r>
        <w:rPr>
          <w:sz w:val="19"/>
        </w:rPr>
        <w:t>and</w:t>
      </w:r>
      <w:r>
        <w:rPr>
          <w:spacing w:val="-4"/>
          <w:sz w:val="19"/>
        </w:rPr>
        <w:t> </w:t>
      </w:r>
      <w:r>
        <w:rPr>
          <w:sz w:val="19"/>
        </w:rPr>
        <w:t>must</w:t>
      </w:r>
      <w:r>
        <w:rPr>
          <w:spacing w:val="-3"/>
          <w:sz w:val="19"/>
        </w:rPr>
        <w:t> </w:t>
      </w:r>
      <w:r>
        <w:rPr>
          <w:sz w:val="19"/>
        </w:rPr>
        <w:t>pay</w:t>
      </w:r>
      <w:r>
        <w:rPr>
          <w:spacing w:val="-4"/>
          <w:sz w:val="19"/>
        </w:rPr>
        <w:t> </w:t>
      </w:r>
      <w:r>
        <w:rPr>
          <w:sz w:val="19"/>
        </w:rPr>
        <w:t>at least fifty percent (50%) of the total fees or</w:t>
      </w:r>
    </w:p>
    <w:p>
      <w:pPr>
        <w:pStyle w:val="ListParagraph"/>
        <w:numPr>
          <w:ilvl w:val="2"/>
          <w:numId w:val="4"/>
        </w:numPr>
        <w:tabs>
          <w:tab w:pos="1530" w:val="left" w:leader="none"/>
          <w:tab w:pos="1531" w:val="left" w:leader="none"/>
        </w:tabs>
        <w:spacing w:line="491" w:lineRule="auto" w:before="1" w:after="0"/>
        <w:ind w:left="366" w:right="2670" w:firstLine="580"/>
        <w:jc w:val="left"/>
        <w:rPr>
          <w:sz w:val="19"/>
        </w:rPr>
      </w:pPr>
      <w:r>
        <w:rPr>
          <w:sz w:val="19"/>
        </w:rPr>
        <w:t>Have</w:t>
      </w:r>
      <w:r>
        <w:rPr>
          <w:spacing w:val="-3"/>
          <w:sz w:val="19"/>
        </w:rPr>
        <w:t> </w:t>
      </w:r>
      <w:r>
        <w:rPr>
          <w:sz w:val="19"/>
        </w:rPr>
        <w:t>become</w:t>
      </w:r>
      <w:r>
        <w:rPr>
          <w:spacing w:val="-3"/>
          <w:sz w:val="19"/>
        </w:rPr>
        <w:t> </w:t>
      </w:r>
      <w:r>
        <w:rPr>
          <w:sz w:val="19"/>
        </w:rPr>
        <w:t>eligible</w:t>
      </w:r>
      <w:r>
        <w:rPr>
          <w:spacing w:val="-3"/>
          <w:sz w:val="19"/>
        </w:rPr>
        <w:t> </w:t>
      </w:r>
      <w:r>
        <w:rPr>
          <w:sz w:val="19"/>
        </w:rPr>
        <w:t>for</w:t>
      </w:r>
      <w:r>
        <w:rPr>
          <w:spacing w:val="-4"/>
          <w:sz w:val="19"/>
        </w:rPr>
        <w:t> </w:t>
      </w:r>
      <w:r>
        <w:rPr>
          <w:sz w:val="19"/>
        </w:rPr>
        <w:t>financial</w:t>
      </w:r>
      <w:r>
        <w:rPr>
          <w:spacing w:val="-3"/>
          <w:sz w:val="19"/>
        </w:rPr>
        <w:t> </w:t>
      </w:r>
      <w:r>
        <w:rPr>
          <w:sz w:val="19"/>
        </w:rPr>
        <w:t>aid</w:t>
      </w:r>
      <w:r>
        <w:rPr>
          <w:spacing w:val="-2"/>
          <w:sz w:val="19"/>
        </w:rPr>
        <w:t> </w:t>
      </w:r>
      <w:r>
        <w:rPr>
          <w:sz w:val="19"/>
        </w:rPr>
        <w:t>for</w:t>
      </w:r>
      <w:r>
        <w:rPr>
          <w:spacing w:val="-4"/>
          <w:sz w:val="19"/>
        </w:rPr>
        <w:t> </w:t>
      </w:r>
      <w:r>
        <w:rPr>
          <w:sz w:val="19"/>
        </w:rPr>
        <w:t>at</w:t>
      </w:r>
      <w:r>
        <w:rPr>
          <w:spacing w:val="-3"/>
          <w:sz w:val="19"/>
        </w:rPr>
        <w:t> </w:t>
      </w:r>
      <w:r>
        <w:rPr>
          <w:sz w:val="19"/>
        </w:rPr>
        <w:t>least</w:t>
      </w:r>
      <w:r>
        <w:rPr>
          <w:spacing w:val="-3"/>
          <w:sz w:val="19"/>
        </w:rPr>
        <w:t> </w:t>
      </w:r>
      <w:r>
        <w:rPr>
          <w:sz w:val="19"/>
        </w:rPr>
        <w:t>fifty</w:t>
      </w:r>
      <w:r>
        <w:rPr>
          <w:spacing w:val="-2"/>
          <w:sz w:val="19"/>
        </w:rPr>
        <w:t> </w:t>
      </w:r>
      <w:r>
        <w:rPr>
          <w:sz w:val="19"/>
        </w:rPr>
        <w:t>percent</w:t>
      </w:r>
      <w:r>
        <w:rPr>
          <w:spacing w:val="-3"/>
          <w:sz w:val="19"/>
        </w:rPr>
        <w:t> </w:t>
      </w:r>
      <w:r>
        <w:rPr>
          <w:sz w:val="19"/>
        </w:rPr>
        <w:t>(50%)</w:t>
      </w:r>
      <w:r>
        <w:rPr>
          <w:spacing w:val="-4"/>
          <w:sz w:val="19"/>
        </w:rPr>
        <w:t> </w:t>
      </w:r>
      <w:r>
        <w:rPr>
          <w:sz w:val="19"/>
        </w:rPr>
        <w:t>of</w:t>
      </w:r>
      <w:r>
        <w:rPr>
          <w:spacing w:val="-4"/>
          <w:sz w:val="19"/>
        </w:rPr>
        <w:t> </w:t>
      </w:r>
      <w:r>
        <w:rPr>
          <w:sz w:val="19"/>
        </w:rPr>
        <w:t>total</w:t>
      </w:r>
      <w:r>
        <w:rPr>
          <w:spacing w:val="-3"/>
          <w:sz w:val="19"/>
        </w:rPr>
        <w:t> </w:t>
      </w:r>
      <w:r>
        <w:rPr>
          <w:sz w:val="19"/>
        </w:rPr>
        <w:t>fees and the late payment fee, with the balance being due no later than the end of the first half of the academic term.</w:t>
      </w:r>
    </w:p>
    <w:p>
      <w:pPr>
        <w:spacing w:after="0" w:line="491" w:lineRule="auto"/>
        <w:jc w:val="left"/>
        <w:rPr>
          <w:sz w:val="19"/>
        </w:rPr>
        <w:sectPr>
          <w:pgSz w:w="12240" w:h="15840"/>
          <w:pgMar w:top="1420" w:bottom="280" w:left="800" w:right="1020"/>
        </w:sectPr>
      </w:pPr>
    </w:p>
    <w:p>
      <w:pPr>
        <w:pStyle w:val="ListParagraph"/>
        <w:numPr>
          <w:ilvl w:val="1"/>
          <w:numId w:val="4"/>
        </w:numPr>
        <w:tabs>
          <w:tab w:pos="1530" w:val="left" w:leader="none"/>
          <w:tab w:pos="1531" w:val="left" w:leader="none"/>
        </w:tabs>
        <w:spacing w:line="489" w:lineRule="auto" w:before="80" w:after="0"/>
        <w:ind w:left="366" w:right="2623" w:firstLine="580"/>
        <w:jc w:val="left"/>
        <w:rPr>
          <w:sz w:val="19"/>
        </w:rPr>
      </w:pPr>
      <w:r>
        <w:rPr>
          <w:sz w:val="19"/>
        </w:rPr>
        <w:t>All</w:t>
      </w:r>
      <w:r>
        <w:rPr>
          <w:spacing w:val="-3"/>
          <w:sz w:val="19"/>
        </w:rPr>
        <w:t> </w:t>
      </w:r>
      <w:r>
        <w:rPr>
          <w:sz w:val="19"/>
        </w:rPr>
        <w:t>or</w:t>
      </w:r>
      <w:r>
        <w:rPr>
          <w:spacing w:val="-4"/>
          <w:sz w:val="19"/>
        </w:rPr>
        <w:t> </w:t>
      </w:r>
      <w:r>
        <w:rPr>
          <w:sz w:val="19"/>
        </w:rPr>
        <w:t>any</w:t>
      </w:r>
      <w:r>
        <w:rPr>
          <w:spacing w:val="-4"/>
          <w:sz w:val="19"/>
        </w:rPr>
        <w:t> </w:t>
      </w:r>
      <w:r>
        <w:rPr>
          <w:sz w:val="19"/>
        </w:rPr>
        <w:t>part</w:t>
      </w:r>
      <w:r>
        <w:rPr>
          <w:spacing w:val="-3"/>
          <w:sz w:val="19"/>
        </w:rPr>
        <w:t> </w:t>
      </w:r>
      <w:r>
        <w:rPr>
          <w:sz w:val="19"/>
        </w:rPr>
        <w:t>of</w:t>
      </w:r>
      <w:r>
        <w:rPr>
          <w:spacing w:val="-4"/>
          <w:sz w:val="19"/>
        </w:rPr>
        <w:t> </w:t>
      </w:r>
      <w:r>
        <w:rPr>
          <w:sz w:val="19"/>
        </w:rPr>
        <w:t>the</w:t>
      </w:r>
      <w:r>
        <w:rPr>
          <w:spacing w:val="-3"/>
          <w:sz w:val="19"/>
        </w:rPr>
        <w:t> </w:t>
      </w:r>
      <w:r>
        <w:rPr>
          <w:sz w:val="19"/>
        </w:rPr>
        <w:t>tuition</w:t>
      </w:r>
      <w:r>
        <w:rPr>
          <w:spacing w:val="-4"/>
          <w:sz w:val="19"/>
        </w:rPr>
        <w:t> </w:t>
      </w:r>
      <w:r>
        <w:rPr>
          <w:sz w:val="19"/>
        </w:rPr>
        <w:t>and</w:t>
      </w:r>
      <w:r>
        <w:rPr>
          <w:spacing w:val="-2"/>
          <w:sz w:val="19"/>
        </w:rPr>
        <w:t> </w:t>
      </w:r>
      <w:r>
        <w:rPr>
          <w:sz w:val="19"/>
        </w:rPr>
        <w:t>registration</w:t>
      </w:r>
      <w:r>
        <w:rPr>
          <w:spacing w:val="-2"/>
          <w:sz w:val="19"/>
        </w:rPr>
        <w:t> </w:t>
      </w:r>
      <w:r>
        <w:rPr>
          <w:sz w:val="19"/>
        </w:rPr>
        <w:t>fees</w:t>
      </w:r>
      <w:r>
        <w:rPr>
          <w:spacing w:val="-2"/>
          <w:sz w:val="19"/>
        </w:rPr>
        <w:t> </w:t>
      </w:r>
      <w:r>
        <w:rPr>
          <w:sz w:val="19"/>
        </w:rPr>
        <w:t>will</w:t>
      </w:r>
      <w:r>
        <w:rPr>
          <w:spacing w:val="-3"/>
          <w:sz w:val="19"/>
        </w:rPr>
        <w:t> </w:t>
      </w:r>
      <w:r>
        <w:rPr>
          <w:sz w:val="19"/>
        </w:rPr>
        <w:t>be</w:t>
      </w:r>
      <w:r>
        <w:rPr>
          <w:spacing w:val="-6"/>
          <w:sz w:val="19"/>
        </w:rPr>
        <w:t> </w:t>
      </w:r>
      <w:r>
        <w:rPr>
          <w:sz w:val="19"/>
        </w:rPr>
        <w:t>waived</w:t>
      </w:r>
      <w:r>
        <w:rPr>
          <w:spacing w:val="-2"/>
          <w:sz w:val="19"/>
        </w:rPr>
        <w:t> </w:t>
      </w:r>
      <w:r>
        <w:rPr>
          <w:sz w:val="19"/>
        </w:rPr>
        <w:t>by</w:t>
      </w:r>
      <w:r>
        <w:rPr>
          <w:spacing w:val="-4"/>
          <w:sz w:val="19"/>
        </w:rPr>
        <w:t> </w:t>
      </w:r>
      <w:r>
        <w:rPr>
          <w:sz w:val="19"/>
        </w:rPr>
        <w:t>the</w:t>
      </w:r>
      <w:r>
        <w:rPr>
          <w:spacing w:val="-3"/>
          <w:sz w:val="19"/>
        </w:rPr>
        <w:t> </w:t>
      </w:r>
      <w:r>
        <w:rPr>
          <w:sz w:val="19"/>
        </w:rPr>
        <w:t>University as prescribed by the Florida Statutes.</w:t>
      </w:r>
    </w:p>
    <w:p>
      <w:pPr>
        <w:pStyle w:val="ListParagraph"/>
        <w:numPr>
          <w:ilvl w:val="0"/>
          <w:numId w:val="4"/>
        </w:numPr>
        <w:tabs>
          <w:tab w:pos="1530" w:val="left" w:leader="none"/>
          <w:tab w:pos="1531" w:val="left" w:leader="none"/>
        </w:tabs>
        <w:spacing w:line="491" w:lineRule="auto" w:before="1" w:after="0"/>
        <w:ind w:left="366" w:right="2829" w:firstLine="580"/>
        <w:jc w:val="left"/>
        <w:rPr>
          <w:sz w:val="19"/>
        </w:rPr>
      </w:pPr>
      <w:r>
        <w:rPr>
          <w:sz w:val="19"/>
        </w:rPr>
        <w:t>A student may pay fees, including charges for housing, in installments. Said student is required to pay at least fifty percent (50%) of his/her obligation by the end of the drop/add period. The remaining</w:t>
      </w:r>
      <w:r>
        <w:rPr>
          <w:spacing w:val="-1"/>
          <w:sz w:val="19"/>
        </w:rPr>
        <w:t> </w:t>
      </w:r>
      <w:r>
        <w:rPr>
          <w:sz w:val="19"/>
        </w:rPr>
        <w:t>amount is required to</w:t>
      </w:r>
      <w:r>
        <w:rPr>
          <w:spacing w:val="-1"/>
          <w:sz w:val="19"/>
        </w:rPr>
        <w:t> </w:t>
      </w:r>
      <w:r>
        <w:rPr>
          <w:sz w:val="19"/>
        </w:rPr>
        <w:t>be paid not later</w:t>
      </w:r>
      <w:r>
        <w:rPr>
          <w:spacing w:val="-1"/>
          <w:sz w:val="19"/>
        </w:rPr>
        <w:t> </w:t>
      </w:r>
      <w:r>
        <w:rPr>
          <w:sz w:val="19"/>
        </w:rPr>
        <w:t>than the end</w:t>
      </w:r>
      <w:r>
        <w:rPr>
          <w:spacing w:val="-1"/>
          <w:sz w:val="19"/>
        </w:rPr>
        <w:t> </w:t>
      </w:r>
      <w:r>
        <w:rPr>
          <w:sz w:val="19"/>
        </w:rPr>
        <w:t>of</w:t>
      </w:r>
      <w:r>
        <w:rPr>
          <w:spacing w:val="-1"/>
          <w:sz w:val="19"/>
        </w:rPr>
        <w:t> </w:t>
      </w:r>
      <w:r>
        <w:rPr>
          <w:sz w:val="19"/>
        </w:rPr>
        <w:t>the first half of the academic term; otherwise the student’s registration will be canceled or his/her academic</w:t>
      </w:r>
      <w:r>
        <w:rPr>
          <w:spacing w:val="-3"/>
          <w:sz w:val="19"/>
        </w:rPr>
        <w:t> </w:t>
      </w:r>
      <w:r>
        <w:rPr>
          <w:sz w:val="19"/>
        </w:rPr>
        <w:t>progress</w:t>
      </w:r>
      <w:r>
        <w:rPr>
          <w:spacing w:val="-2"/>
          <w:sz w:val="19"/>
        </w:rPr>
        <w:t> </w:t>
      </w:r>
      <w:r>
        <w:rPr>
          <w:sz w:val="19"/>
        </w:rPr>
        <w:t>preludes</w:t>
      </w:r>
      <w:r>
        <w:rPr>
          <w:spacing w:val="-2"/>
          <w:sz w:val="19"/>
        </w:rPr>
        <w:t> </w:t>
      </w:r>
      <w:r>
        <w:rPr>
          <w:sz w:val="19"/>
        </w:rPr>
        <w:t>a</w:t>
      </w:r>
      <w:r>
        <w:rPr>
          <w:spacing w:val="-6"/>
          <w:sz w:val="19"/>
        </w:rPr>
        <w:t> </w:t>
      </w:r>
      <w:r>
        <w:rPr>
          <w:sz w:val="19"/>
        </w:rPr>
        <w:t>student</w:t>
      </w:r>
      <w:r>
        <w:rPr>
          <w:spacing w:val="-3"/>
          <w:sz w:val="19"/>
        </w:rPr>
        <w:t> </w:t>
      </w:r>
      <w:r>
        <w:rPr>
          <w:sz w:val="19"/>
        </w:rPr>
        <w:t>from</w:t>
      </w:r>
      <w:r>
        <w:rPr>
          <w:spacing w:val="-4"/>
          <w:sz w:val="19"/>
        </w:rPr>
        <w:t> </w:t>
      </w:r>
      <w:r>
        <w:rPr>
          <w:sz w:val="19"/>
        </w:rPr>
        <w:t>receiving</w:t>
      </w:r>
      <w:r>
        <w:rPr>
          <w:spacing w:val="-4"/>
          <w:sz w:val="19"/>
        </w:rPr>
        <w:t> </w:t>
      </w:r>
      <w:r>
        <w:rPr>
          <w:sz w:val="19"/>
        </w:rPr>
        <w:t>grades,</w:t>
      </w:r>
      <w:r>
        <w:rPr>
          <w:spacing w:val="-2"/>
          <w:sz w:val="19"/>
        </w:rPr>
        <w:t> </w:t>
      </w:r>
      <w:r>
        <w:rPr>
          <w:sz w:val="19"/>
        </w:rPr>
        <w:t>a</w:t>
      </w:r>
      <w:r>
        <w:rPr>
          <w:spacing w:val="-3"/>
          <w:sz w:val="19"/>
        </w:rPr>
        <w:t> </w:t>
      </w:r>
      <w:r>
        <w:rPr>
          <w:sz w:val="19"/>
        </w:rPr>
        <w:t>transcript</w:t>
      </w:r>
      <w:r>
        <w:rPr>
          <w:spacing w:val="-3"/>
          <w:sz w:val="19"/>
        </w:rPr>
        <w:t> </w:t>
      </w:r>
      <w:r>
        <w:rPr>
          <w:sz w:val="19"/>
        </w:rPr>
        <w:t>or</w:t>
      </w:r>
      <w:r>
        <w:rPr>
          <w:spacing w:val="-4"/>
          <w:sz w:val="19"/>
        </w:rPr>
        <w:t> </w:t>
      </w:r>
      <w:r>
        <w:rPr>
          <w:sz w:val="19"/>
        </w:rPr>
        <w:t>a</w:t>
      </w:r>
      <w:r>
        <w:rPr>
          <w:spacing w:val="-3"/>
          <w:sz w:val="19"/>
        </w:rPr>
        <w:t> </w:t>
      </w:r>
      <w:r>
        <w:rPr>
          <w:sz w:val="19"/>
        </w:rPr>
        <w:t>diploma</w:t>
      </w:r>
      <w:r>
        <w:rPr>
          <w:spacing w:val="-3"/>
          <w:sz w:val="19"/>
        </w:rPr>
        <w:t> </w:t>
      </w:r>
      <w:r>
        <w:rPr>
          <w:sz w:val="19"/>
        </w:rPr>
        <w:t>and</w:t>
      </w:r>
      <w:r>
        <w:rPr>
          <w:spacing w:val="-2"/>
          <w:sz w:val="19"/>
        </w:rPr>
        <w:t> </w:t>
      </w:r>
      <w:r>
        <w:rPr>
          <w:sz w:val="19"/>
        </w:rPr>
        <w:t>shall deny registration for further terms until his/her account has been settled in</w:t>
      </w:r>
      <w:r>
        <w:rPr>
          <w:spacing w:val="40"/>
          <w:sz w:val="19"/>
        </w:rPr>
        <w:t> </w:t>
      </w:r>
      <w:r>
        <w:rPr>
          <w:sz w:val="19"/>
        </w:rPr>
        <w:t>full.</w:t>
      </w:r>
    </w:p>
    <w:p>
      <w:pPr>
        <w:pStyle w:val="BodyText"/>
        <w:spacing w:line="489" w:lineRule="auto"/>
        <w:ind w:left="366" w:right="2869" w:firstLine="580"/>
      </w:pPr>
      <w:r>
        <w:rPr/>
        <w:t>A</w:t>
      </w:r>
      <w:r>
        <w:rPr>
          <w:spacing w:val="-3"/>
        </w:rPr>
        <w:t> </w:t>
      </w:r>
      <w:r>
        <w:rPr/>
        <w:t>student</w:t>
      </w:r>
      <w:r>
        <w:rPr>
          <w:spacing w:val="-5"/>
        </w:rPr>
        <w:t> </w:t>
      </w:r>
      <w:r>
        <w:rPr/>
        <w:t>enrolled</w:t>
      </w:r>
      <w:r>
        <w:rPr>
          <w:spacing w:val="-2"/>
        </w:rPr>
        <w:t> </w:t>
      </w:r>
      <w:r>
        <w:rPr/>
        <w:t>through</w:t>
      </w:r>
      <w:r>
        <w:rPr>
          <w:spacing w:val="-2"/>
        </w:rPr>
        <w:t> </w:t>
      </w:r>
      <w:r>
        <w:rPr/>
        <w:t>continuing</w:t>
      </w:r>
      <w:r>
        <w:rPr>
          <w:spacing w:val="-2"/>
        </w:rPr>
        <w:t> </w:t>
      </w:r>
      <w:r>
        <w:rPr/>
        <w:t>education</w:t>
      </w:r>
      <w:r>
        <w:rPr>
          <w:spacing w:val="-2"/>
        </w:rPr>
        <w:t> </w:t>
      </w:r>
      <w:r>
        <w:rPr/>
        <w:t>will</w:t>
      </w:r>
      <w:r>
        <w:rPr>
          <w:spacing w:val="-5"/>
        </w:rPr>
        <w:t> </w:t>
      </w:r>
      <w:r>
        <w:rPr/>
        <w:t>not</w:t>
      </w:r>
      <w:r>
        <w:rPr>
          <w:spacing w:val="-5"/>
        </w:rPr>
        <w:t> </w:t>
      </w:r>
      <w:r>
        <w:rPr/>
        <w:t>be</w:t>
      </w:r>
      <w:r>
        <w:rPr>
          <w:spacing w:val="-3"/>
        </w:rPr>
        <w:t> </w:t>
      </w:r>
      <w:r>
        <w:rPr/>
        <w:t>eligible</w:t>
      </w:r>
      <w:r>
        <w:rPr>
          <w:spacing w:val="-3"/>
        </w:rPr>
        <w:t> </w:t>
      </w:r>
      <w:r>
        <w:rPr/>
        <w:t>for</w:t>
      </w:r>
      <w:r>
        <w:rPr>
          <w:spacing w:val="-4"/>
        </w:rPr>
        <w:t> </w:t>
      </w:r>
      <w:r>
        <w:rPr/>
        <w:t>payment</w:t>
      </w:r>
      <w:r>
        <w:rPr>
          <w:spacing w:val="-5"/>
        </w:rPr>
        <w:t> </w:t>
      </w:r>
      <w:r>
        <w:rPr/>
        <w:t>by </w:t>
      </w:r>
      <w:r>
        <w:rPr>
          <w:spacing w:val="-2"/>
        </w:rPr>
        <w:t>installments.</w:t>
      </w:r>
    </w:p>
    <w:p>
      <w:pPr>
        <w:pStyle w:val="ListParagraph"/>
        <w:numPr>
          <w:ilvl w:val="0"/>
          <w:numId w:val="4"/>
        </w:numPr>
        <w:tabs>
          <w:tab w:pos="1530" w:val="left" w:leader="none"/>
          <w:tab w:pos="1531" w:val="left" w:leader="none"/>
        </w:tabs>
        <w:spacing w:line="489" w:lineRule="auto" w:before="0" w:after="0"/>
        <w:ind w:left="366" w:right="2744" w:firstLine="580"/>
        <w:jc w:val="left"/>
        <w:rPr>
          <w:sz w:val="19"/>
        </w:rPr>
      </w:pPr>
      <w:r>
        <w:rPr>
          <w:sz w:val="19"/>
        </w:rPr>
        <w:t>If a student’s fee account is in arrears, the student’s academic progress will be suspended until his/her account has been settled in full or other arrangements have been made.</w:t>
      </w:r>
    </w:p>
    <w:p>
      <w:pPr>
        <w:tabs>
          <w:tab w:pos="3629" w:val="left" w:leader="none"/>
        </w:tabs>
        <w:spacing w:line="244" w:lineRule="auto" w:before="1"/>
        <w:ind w:left="366" w:right="2859" w:firstLine="0"/>
        <w:jc w:val="left"/>
        <w:rPr>
          <w:i/>
          <w:sz w:val="19"/>
        </w:rPr>
      </w:pPr>
      <w:r>
        <w:rPr>
          <w:i/>
          <w:sz w:val="19"/>
        </w:rPr>
        <w:t>Specific</w:t>
      </w:r>
      <w:r>
        <w:rPr>
          <w:i/>
          <w:spacing w:val="-4"/>
          <w:sz w:val="19"/>
        </w:rPr>
        <w:t> </w:t>
      </w:r>
      <w:r>
        <w:rPr>
          <w:i/>
          <w:sz w:val="19"/>
        </w:rPr>
        <w:t>Authority</w:t>
      </w:r>
      <w:r>
        <w:rPr>
          <w:i/>
          <w:spacing w:val="-4"/>
          <w:sz w:val="19"/>
        </w:rPr>
        <w:t> </w:t>
      </w:r>
      <w:r>
        <w:rPr>
          <w:i/>
          <w:sz w:val="19"/>
        </w:rPr>
        <w:t>1001.74(4),</w:t>
      </w:r>
      <w:r>
        <w:rPr>
          <w:i/>
          <w:spacing w:val="-3"/>
          <w:sz w:val="19"/>
        </w:rPr>
        <w:t> </w:t>
      </w:r>
      <w:r>
        <w:rPr>
          <w:i/>
          <w:sz w:val="19"/>
        </w:rPr>
        <w:t>(10),</w:t>
      </w:r>
      <w:r>
        <w:rPr>
          <w:i/>
          <w:spacing w:val="-3"/>
          <w:sz w:val="19"/>
        </w:rPr>
        <w:t> </w:t>
      </w:r>
      <w:r>
        <w:rPr>
          <w:i/>
          <w:sz w:val="19"/>
        </w:rPr>
        <w:t>(11),</w:t>
      </w:r>
      <w:r>
        <w:rPr>
          <w:i/>
          <w:spacing w:val="-3"/>
          <w:sz w:val="19"/>
        </w:rPr>
        <w:t> </w:t>
      </w:r>
      <w:r>
        <w:rPr>
          <w:i/>
          <w:sz w:val="19"/>
        </w:rPr>
        <w:t>FS.</w:t>
      </w:r>
      <w:r>
        <w:rPr>
          <w:i/>
          <w:spacing w:val="-3"/>
          <w:sz w:val="19"/>
        </w:rPr>
        <w:t> </w:t>
      </w:r>
      <w:r>
        <w:rPr>
          <w:i/>
          <w:sz w:val="19"/>
        </w:rPr>
        <w:t>Law</w:t>
      </w:r>
      <w:r>
        <w:rPr>
          <w:i/>
          <w:spacing w:val="-6"/>
          <w:sz w:val="19"/>
        </w:rPr>
        <w:t> </w:t>
      </w:r>
      <w:r>
        <w:rPr>
          <w:i/>
          <w:sz w:val="19"/>
        </w:rPr>
        <w:t>Implemented</w:t>
      </w:r>
      <w:r>
        <w:rPr>
          <w:i/>
          <w:spacing w:val="-5"/>
          <w:sz w:val="19"/>
        </w:rPr>
        <w:t> </w:t>
      </w:r>
      <w:r>
        <w:rPr>
          <w:i/>
          <w:sz w:val="19"/>
        </w:rPr>
        <w:t>1009.24,</w:t>
      </w:r>
      <w:r>
        <w:rPr>
          <w:i/>
          <w:spacing w:val="-6"/>
          <w:sz w:val="19"/>
        </w:rPr>
        <w:t> </w:t>
      </w:r>
      <w:r>
        <w:rPr>
          <w:i/>
          <w:sz w:val="19"/>
        </w:rPr>
        <w:t>1009.27,</w:t>
      </w:r>
      <w:r>
        <w:rPr>
          <w:i/>
          <w:spacing w:val="-6"/>
          <w:sz w:val="19"/>
        </w:rPr>
        <w:t> </w:t>
      </w:r>
      <w:r>
        <w:rPr>
          <w:i/>
          <w:sz w:val="19"/>
        </w:rPr>
        <w:t>1010.03(4),</w:t>
      </w:r>
      <w:r>
        <w:rPr>
          <w:i/>
          <w:sz w:val="19"/>
        </w:rPr>
        <w:t> FS. History – New</w:t>
      </w:r>
      <w:r>
        <w:rPr>
          <w:i/>
          <w:spacing w:val="40"/>
          <w:sz w:val="19"/>
        </w:rPr>
        <w:t> </w:t>
      </w:r>
      <w:r>
        <w:rPr>
          <w:i/>
          <w:sz w:val="19"/>
        </w:rPr>
        <w:t>5-2-04</w:t>
      </w:r>
      <w:r>
        <w:rPr>
          <w:i/>
          <w:color w:val="C00000"/>
          <w:sz w:val="19"/>
        </w:rPr>
        <w:t>, Amended</w:t>
        <w:tab/>
      </w:r>
      <w:r>
        <w:rPr>
          <w:i/>
          <w:color w:val="C00000"/>
          <w:spacing w:val="-6"/>
          <w:sz w:val="19"/>
        </w:rPr>
        <w:t>..</w:t>
      </w:r>
    </w:p>
    <w:p>
      <w:pPr>
        <w:pStyle w:val="Heading1"/>
        <w:spacing w:before="131"/>
      </w:pPr>
      <w:bookmarkStart w:name="6C9-8.1004 Fee Refund/Release of Liabili" w:id="6"/>
      <w:bookmarkEnd w:id="6"/>
      <w:r>
        <w:rPr>
          <w:b w:val="0"/>
        </w:rPr>
      </w:r>
      <w:r>
        <w:rPr/>
        <w:t>6C9-8.1004</w:t>
      </w:r>
      <w:r>
        <w:rPr>
          <w:spacing w:val="-8"/>
        </w:rPr>
        <w:t> </w:t>
      </w:r>
      <w:r>
        <w:rPr/>
        <w:t>Fee</w:t>
      </w:r>
      <w:r>
        <w:rPr>
          <w:spacing w:val="-9"/>
        </w:rPr>
        <w:t> </w:t>
      </w:r>
      <w:r>
        <w:rPr/>
        <w:t>Refund/Release</w:t>
      </w:r>
      <w:r>
        <w:rPr>
          <w:spacing w:val="-8"/>
        </w:rPr>
        <w:t> </w:t>
      </w:r>
      <w:r>
        <w:rPr/>
        <w:t>of</w:t>
      </w:r>
      <w:r>
        <w:rPr>
          <w:spacing w:val="-10"/>
        </w:rPr>
        <w:t> </w:t>
      </w:r>
      <w:r>
        <w:rPr>
          <w:spacing w:val="-2"/>
        </w:rPr>
        <w:t>Liability.</w:t>
      </w:r>
    </w:p>
    <w:p>
      <w:pPr>
        <w:pStyle w:val="BodyText"/>
        <w:spacing w:before="7"/>
        <w:rPr>
          <w:b/>
        </w:rPr>
      </w:pPr>
    </w:p>
    <w:p>
      <w:pPr>
        <w:pStyle w:val="ListParagraph"/>
        <w:numPr>
          <w:ilvl w:val="0"/>
          <w:numId w:val="5"/>
        </w:numPr>
        <w:tabs>
          <w:tab w:pos="1530" w:val="left" w:leader="none"/>
          <w:tab w:pos="1531" w:val="left" w:leader="none"/>
        </w:tabs>
        <w:spacing w:line="489" w:lineRule="auto" w:before="0" w:after="0"/>
        <w:ind w:left="366" w:right="2876" w:firstLine="580"/>
        <w:jc w:val="left"/>
        <w:rPr>
          <w:sz w:val="19"/>
        </w:rPr>
      </w:pPr>
      <w:r>
        <w:rPr>
          <w:sz w:val="19"/>
        </w:rPr>
        <w:t>A</w:t>
      </w:r>
      <w:r>
        <w:rPr>
          <w:spacing w:val="-3"/>
          <w:sz w:val="19"/>
        </w:rPr>
        <w:t> </w:t>
      </w:r>
      <w:r>
        <w:rPr>
          <w:sz w:val="19"/>
        </w:rPr>
        <w:t>one</w:t>
      </w:r>
      <w:r>
        <w:rPr>
          <w:spacing w:val="-3"/>
          <w:sz w:val="19"/>
        </w:rPr>
        <w:t> </w:t>
      </w:r>
      <w:r>
        <w:rPr>
          <w:sz w:val="19"/>
        </w:rPr>
        <w:t>hundred</w:t>
      </w:r>
      <w:r>
        <w:rPr>
          <w:spacing w:val="-2"/>
          <w:sz w:val="19"/>
        </w:rPr>
        <w:t> </w:t>
      </w:r>
      <w:r>
        <w:rPr>
          <w:sz w:val="19"/>
        </w:rPr>
        <w:t>percent</w:t>
      </w:r>
      <w:r>
        <w:rPr>
          <w:spacing w:val="-3"/>
          <w:sz w:val="19"/>
        </w:rPr>
        <w:t> </w:t>
      </w:r>
      <w:r>
        <w:rPr>
          <w:sz w:val="19"/>
        </w:rPr>
        <w:t>(100%)</w:t>
      </w:r>
      <w:r>
        <w:rPr>
          <w:spacing w:val="-6"/>
          <w:sz w:val="19"/>
        </w:rPr>
        <w:t> </w:t>
      </w:r>
      <w:r>
        <w:rPr>
          <w:sz w:val="19"/>
        </w:rPr>
        <w:t>refund</w:t>
      </w:r>
      <w:r>
        <w:rPr>
          <w:spacing w:val="-2"/>
          <w:sz w:val="19"/>
        </w:rPr>
        <w:t> </w:t>
      </w:r>
      <w:r>
        <w:rPr>
          <w:sz w:val="19"/>
        </w:rPr>
        <w:t>of</w:t>
      </w:r>
      <w:r>
        <w:rPr>
          <w:spacing w:val="-4"/>
          <w:sz w:val="19"/>
        </w:rPr>
        <w:t> </w:t>
      </w:r>
      <w:r>
        <w:rPr>
          <w:sz w:val="19"/>
        </w:rPr>
        <w:t>the</w:t>
      </w:r>
      <w:r>
        <w:rPr>
          <w:spacing w:val="-3"/>
          <w:sz w:val="19"/>
        </w:rPr>
        <w:t> </w:t>
      </w:r>
      <w:r>
        <w:rPr>
          <w:sz w:val="19"/>
        </w:rPr>
        <w:t>tuition</w:t>
      </w:r>
      <w:r>
        <w:rPr>
          <w:spacing w:val="-2"/>
          <w:sz w:val="19"/>
        </w:rPr>
        <w:t> </w:t>
      </w:r>
      <w:r>
        <w:rPr>
          <w:sz w:val="19"/>
        </w:rPr>
        <w:t>and</w:t>
      </w:r>
      <w:r>
        <w:rPr>
          <w:spacing w:val="-4"/>
          <w:sz w:val="19"/>
        </w:rPr>
        <w:t> </w:t>
      </w:r>
      <w:r>
        <w:rPr>
          <w:sz w:val="19"/>
        </w:rPr>
        <w:t>registration</w:t>
      </w:r>
      <w:r>
        <w:rPr>
          <w:spacing w:val="-2"/>
          <w:sz w:val="19"/>
        </w:rPr>
        <w:t> </w:t>
      </w:r>
      <w:r>
        <w:rPr>
          <w:sz w:val="19"/>
        </w:rPr>
        <w:t>fee</w:t>
      </w:r>
      <w:r>
        <w:rPr>
          <w:spacing w:val="-3"/>
          <w:sz w:val="19"/>
        </w:rPr>
        <w:t> </w:t>
      </w:r>
      <w:r>
        <w:rPr>
          <w:sz w:val="19"/>
        </w:rPr>
        <w:t>will</w:t>
      </w:r>
      <w:r>
        <w:rPr>
          <w:spacing w:val="-3"/>
          <w:sz w:val="19"/>
        </w:rPr>
        <w:t> </w:t>
      </w:r>
      <w:r>
        <w:rPr>
          <w:sz w:val="19"/>
        </w:rPr>
        <w:t>be made if notice of withdrawal from the University is approved prior to the end of the drop/add period and written documentation is received from the student. Terms in the student housing contract will determine the refund of the apartment rent.</w:t>
      </w:r>
    </w:p>
    <w:p>
      <w:pPr>
        <w:pStyle w:val="ListParagraph"/>
        <w:numPr>
          <w:ilvl w:val="0"/>
          <w:numId w:val="5"/>
        </w:numPr>
        <w:tabs>
          <w:tab w:pos="1530" w:val="left" w:leader="none"/>
          <w:tab w:pos="1531" w:val="left" w:leader="none"/>
        </w:tabs>
        <w:spacing w:line="489" w:lineRule="auto" w:before="5" w:after="0"/>
        <w:ind w:left="366" w:right="2618" w:firstLine="580"/>
        <w:jc w:val="left"/>
        <w:rPr>
          <w:sz w:val="19"/>
        </w:rPr>
      </w:pPr>
      <w:r>
        <w:rPr>
          <w:sz w:val="19"/>
        </w:rPr>
        <w:t>A</w:t>
      </w:r>
      <w:r>
        <w:rPr>
          <w:spacing w:val="-3"/>
          <w:sz w:val="19"/>
        </w:rPr>
        <w:t> </w:t>
      </w:r>
      <w:r>
        <w:rPr>
          <w:sz w:val="19"/>
        </w:rPr>
        <w:t>twenty-five</w:t>
      </w:r>
      <w:r>
        <w:rPr>
          <w:spacing w:val="-3"/>
          <w:sz w:val="19"/>
        </w:rPr>
        <w:t> </w:t>
      </w:r>
      <w:r>
        <w:rPr>
          <w:sz w:val="19"/>
        </w:rPr>
        <w:t>percent</w:t>
      </w:r>
      <w:r>
        <w:rPr>
          <w:spacing w:val="-3"/>
          <w:sz w:val="19"/>
        </w:rPr>
        <w:t> </w:t>
      </w:r>
      <w:r>
        <w:rPr>
          <w:sz w:val="19"/>
        </w:rPr>
        <w:t>(25%)</w:t>
      </w:r>
      <w:r>
        <w:rPr>
          <w:spacing w:val="-4"/>
          <w:sz w:val="19"/>
        </w:rPr>
        <w:t> </w:t>
      </w:r>
      <w:r>
        <w:rPr>
          <w:sz w:val="19"/>
        </w:rPr>
        <w:t>refund</w:t>
      </w:r>
      <w:r>
        <w:rPr>
          <w:spacing w:val="-4"/>
          <w:sz w:val="19"/>
        </w:rPr>
        <w:t> </w:t>
      </w:r>
      <w:r>
        <w:rPr>
          <w:sz w:val="19"/>
        </w:rPr>
        <w:t>of</w:t>
      </w:r>
      <w:r>
        <w:rPr>
          <w:spacing w:val="-4"/>
          <w:sz w:val="19"/>
        </w:rPr>
        <w:t> </w:t>
      </w:r>
      <w:r>
        <w:rPr>
          <w:sz w:val="19"/>
        </w:rPr>
        <w:t>the</w:t>
      </w:r>
      <w:r>
        <w:rPr>
          <w:spacing w:val="-3"/>
          <w:sz w:val="19"/>
        </w:rPr>
        <w:t> </w:t>
      </w:r>
      <w:r>
        <w:rPr>
          <w:sz w:val="19"/>
        </w:rPr>
        <w:t>total</w:t>
      </w:r>
      <w:r>
        <w:rPr>
          <w:spacing w:val="-3"/>
          <w:sz w:val="19"/>
        </w:rPr>
        <w:t> </w:t>
      </w:r>
      <w:r>
        <w:rPr>
          <w:sz w:val="19"/>
        </w:rPr>
        <w:t>fees</w:t>
      </w:r>
      <w:r>
        <w:rPr>
          <w:spacing w:val="-2"/>
          <w:sz w:val="19"/>
        </w:rPr>
        <w:t> </w:t>
      </w:r>
      <w:r>
        <w:rPr>
          <w:sz w:val="19"/>
        </w:rPr>
        <w:t>paid,</w:t>
      </w:r>
      <w:r>
        <w:rPr>
          <w:spacing w:val="-5"/>
          <w:sz w:val="19"/>
        </w:rPr>
        <w:t> </w:t>
      </w:r>
      <w:r>
        <w:rPr>
          <w:sz w:val="19"/>
        </w:rPr>
        <w:t>less</w:t>
      </w:r>
      <w:r>
        <w:rPr>
          <w:spacing w:val="-2"/>
          <w:sz w:val="19"/>
        </w:rPr>
        <w:t> </w:t>
      </w:r>
      <w:r>
        <w:rPr>
          <w:sz w:val="19"/>
        </w:rPr>
        <w:t>building</w:t>
      </w:r>
      <w:r>
        <w:rPr>
          <w:spacing w:val="-2"/>
          <w:sz w:val="19"/>
        </w:rPr>
        <w:t> </w:t>
      </w:r>
      <w:r>
        <w:rPr>
          <w:sz w:val="19"/>
        </w:rPr>
        <w:t>and</w:t>
      </w:r>
      <w:r>
        <w:rPr>
          <w:spacing w:val="-2"/>
          <w:sz w:val="19"/>
        </w:rPr>
        <w:t> </w:t>
      </w:r>
      <w:r>
        <w:rPr>
          <w:sz w:val="19"/>
        </w:rPr>
        <w:t>capital improvement fees, will be made if written notice of withdrawal from the University is approved prior to the end of the fourth week of classes and written documentation is received from the student or at an appropriate time as designated by the university for summer</w:t>
      </w:r>
      <w:r>
        <w:rPr>
          <w:spacing w:val="40"/>
          <w:sz w:val="19"/>
        </w:rPr>
        <w:t> </w:t>
      </w:r>
      <w:r>
        <w:rPr>
          <w:sz w:val="19"/>
        </w:rPr>
        <w:t>sessions.</w:t>
      </w:r>
    </w:p>
    <w:p>
      <w:pPr>
        <w:pStyle w:val="ListParagraph"/>
        <w:numPr>
          <w:ilvl w:val="0"/>
          <w:numId w:val="5"/>
        </w:numPr>
        <w:tabs>
          <w:tab w:pos="1530" w:val="left" w:leader="none"/>
          <w:tab w:pos="1531" w:val="left" w:leader="none"/>
        </w:tabs>
        <w:spacing w:line="489" w:lineRule="auto" w:before="0" w:after="0"/>
        <w:ind w:left="366" w:right="2639" w:firstLine="580"/>
        <w:jc w:val="left"/>
        <w:rPr>
          <w:sz w:val="19"/>
        </w:rPr>
      </w:pPr>
      <w:r>
        <w:rPr>
          <w:sz w:val="19"/>
        </w:rPr>
        <w:t>One</w:t>
      </w:r>
      <w:r>
        <w:rPr>
          <w:spacing w:val="-3"/>
          <w:sz w:val="19"/>
        </w:rPr>
        <w:t> </w:t>
      </w:r>
      <w:r>
        <w:rPr>
          <w:sz w:val="19"/>
        </w:rPr>
        <w:t>hundred</w:t>
      </w:r>
      <w:r>
        <w:rPr>
          <w:spacing w:val="-2"/>
          <w:sz w:val="19"/>
        </w:rPr>
        <w:t> </w:t>
      </w:r>
      <w:r>
        <w:rPr>
          <w:sz w:val="19"/>
        </w:rPr>
        <w:t>percent</w:t>
      </w:r>
      <w:r>
        <w:rPr>
          <w:spacing w:val="-3"/>
          <w:sz w:val="19"/>
        </w:rPr>
        <w:t> </w:t>
      </w:r>
      <w:r>
        <w:rPr>
          <w:color w:val="0101FF"/>
          <w:sz w:val="19"/>
        </w:rPr>
        <w:t>(100%)</w:t>
      </w:r>
      <w:r>
        <w:rPr>
          <w:color w:val="0101FF"/>
          <w:spacing w:val="-6"/>
          <w:sz w:val="19"/>
        </w:rPr>
        <w:t> </w:t>
      </w:r>
      <w:r>
        <w:rPr>
          <w:sz w:val="19"/>
        </w:rPr>
        <w:t>of</w:t>
      </w:r>
      <w:r>
        <w:rPr>
          <w:spacing w:val="-4"/>
          <w:sz w:val="19"/>
        </w:rPr>
        <w:t> </w:t>
      </w:r>
      <w:r>
        <w:rPr>
          <w:sz w:val="19"/>
        </w:rPr>
        <w:t>the</w:t>
      </w:r>
      <w:r>
        <w:rPr>
          <w:spacing w:val="-3"/>
          <w:sz w:val="19"/>
        </w:rPr>
        <w:t> </w:t>
      </w:r>
      <w:r>
        <w:rPr>
          <w:sz w:val="19"/>
        </w:rPr>
        <w:t>tuition</w:t>
      </w:r>
      <w:r>
        <w:rPr>
          <w:spacing w:val="-2"/>
          <w:sz w:val="19"/>
        </w:rPr>
        <w:t> </w:t>
      </w:r>
      <w:r>
        <w:rPr>
          <w:sz w:val="19"/>
        </w:rPr>
        <w:t>and</w:t>
      </w:r>
      <w:r>
        <w:rPr>
          <w:spacing w:val="-2"/>
          <w:sz w:val="19"/>
        </w:rPr>
        <w:t> </w:t>
      </w:r>
      <w:r>
        <w:rPr>
          <w:sz w:val="19"/>
        </w:rPr>
        <w:t>registration</w:t>
      </w:r>
      <w:r>
        <w:rPr>
          <w:spacing w:val="-4"/>
          <w:sz w:val="19"/>
        </w:rPr>
        <w:t> </w:t>
      </w:r>
      <w:r>
        <w:rPr>
          <w:sz w:val="19"/>
        </w:rPr>
        <w:t>fee</w:t>
      </w:r>
      <w:r>
        <w:rPr>
          <w:spacing w:val="-3"/>
          <w:sz w:val="19"/>
        </w:rPr>
        <w:t> </w:t>
      </w:r>
      <w:r>
        <w:rPr>
          <w:sz w:val="19"/>
        </w:rPr>
        <w:t>will</w:t>
      </w:r>
      <w:r>
        <w:rPr>
          <w:spacing w:val="-3"/>
          <w:sz w:val="19"/>
        </w:rPr>
        <w:t> </w:t>
      </w:r>
      <w:r>
        <w:rPr>
          <w:sz w:val="19"/>
        </w:rPr>
        <w:t>be</w:t>
      </w:r>
      <w:r>
        <w:rPr>
          <w:spacing w:val="-3"/>
          <w:sz w:val="19"/>
        </w:rPr>
        <w:t> </w:t>
      </w:r>
      <w:r>
        <w:rPr>
          <w:sz w:val="19"/>
        </w:rPr>
        <w:t>refunded</w:t>
      </w:r>
      <w:r>
        <w:rPr>
          <w:spacing w:val="30"/>
          <w:sz w:val="19"/>
        </w:rPr>
        <w:t> </w:t>
      </w:r>
      <w:r>
        <w:rPr>
          <w:sz w:val="19"/>
        </w:rPr>
        <w:t>if a student withdraws or drops a course due to circumstances determined by the University to be exceptional and beyond the control of the student, including but not limited to:</w:t>
      </w:r>
    </w:p>
    <w:p>
      <w:pPr>
        <w:pStyle w:val="ListParagraph"/>
        <w:numPr>
          <w:ilvl w:val="1"/>
          <w:numId w:val="5"/>
        </w:numPr>
        <w:tabs>
          <w:tab w:pos="1530" w:val="left" w:leader="none"/>
          <w:tab w:pos="1531" w:val="left" w:leader="none"/>
        </w:tabs>
        <w:spacing w:line="489" w:lineRule="auto" w:before="2" w:after="0"/>
        <w:ind w:left="366" w:right="3078" w:firstLine="580"/>
        <w:jc w:val="left"/>
        <w:rPr>
          <w:sz w:val="19"/>
        </w:rPr>
      </w:pPr>
      <w:r>
        <w:rPr>
          <w:sz w:val="19"/>
        </w:rPr>
        <w:t>Illness</w:t>
      </w:r>
      <w:r>
        <w:rPr>
          <w:spacing w:val="-3"/>
          <w:sz w:val="19"/>
        </w:rPr>
        <w:t> </w:t>
      </w:r>
      <w:r>
        <w:rPr>
          <w:sz w:val="19"/>
        </w:rPr>
        <w:t>of</w:t>
      </w:r>
      <w:r>
        <w:rPr>
          <w:spacing w:val="-4"/>
          <w:sz w:val="19"/>
        </w:rPr>
        <w:t> </w:t>
      </w:r>
      <w:r>
        <w:rPr>
          <w:sz w:val="19"/>
        </w:rPr>
        <w:t>a</w:t>
      </w:r>
      <w:r>
        <w:rPr>
          <w:spacing w:val="-3"/>
          <w:sz w:val="19"/>
        </w:rPr>
        <w:t> </w:t>
      </w:r>
      <w:r>
        <w:rPr>
          <w:sz w:val="19"/>
        </w:rPr>
        <w:t>student</w:t>
      </w:r>
      <w:r>
        <w:rPr>
          <w:spacing w:val="-5"/>
          <w:sz w:val="19"/>
        </w:rPr>
        <w:t> </w:t>
      </w:r>
      <w:r>
        <w:rPr>
          <w:sz w:val="19"/>
        </w:rPr>
        <w:t>of</w:t>
      </w:r>
      <w:r>
        <w:rPr>
          <w:spacing w:val="-4"/>
          <w:sz w:val="19"/>
        </w:rPr>
        <w:t> </w:t>
      </w:r>
      <w:r>
        <w:rPr>
          <w:sz w:val="19"/>
        </w:rPr>
        <w:t>such</w:t>
      </w:r>
      <w:r>
        <w:rPr>
          <w:spacing w:val="-4"/>
          <w:sz w:val="19"/>
        </w:rPr>
        <w:t> </w:t>
      </w:r>
      <w:r>
        <w:rPr>
          <w:sz w:val="19"/>
        </w:rPr>
        <w:t>severity</w:t>
      </w:r>
      <w:r>
        <w:rPr>
          <w:spacing w:val="-2"/>
          <w:sz w:val="19"/>
        </w:rPr>
        <w:t> </w:t>
      </w:r>
      <w:r>
        <w:rPr>
          <w:sz w:val="19"/>
        </w:rPr>
        <w:t>or</w:t>
      </w:r>
      <w:r>
        <w:rPr>
          <w:spacing w:val="-4"/>
          <w:sz w:val="19"/>
        </w:rPr>
        <w:t> </w:t>
      </w:r>
      <w:r>
        <w:rPr>
          <w:sz w:val="19"/>
        </w:rPr>
        <w:t>duration,</w:t>
      </w:r>
      <w:r>
        <w:rPr>
          <w:spacing w:val="-2"/>
          <w:sz w:val="19"/>
        </w:rPr>
        <w:t> </w:t>
      </w:r>
      <w:r>
        <w:rPr>
          <w:sz w:val="19"/>
        </w:rPr>
        <w:t>as</w:t>
      </w:r>
      <w:r>
        <w:rPr>
          <w:spacing w:val="-2"/>
          <w:sz w:val="19"/>
        </w:rPr>
        <w:t> </w:t>
      </w:r>
      <w:r>
        <w:rPr>
          <w:sz w:val="19"/>
        </w:rPr>
        <w:t>confirmed</w:t>
      </w:r>
      <w:r>
        <w:rPr>
          <w:spacing w:val="-2"/>
          <w:sz w:val="19"/>
        </w:rPr>
        <w:t> </w:t>
      </w:r>
      <w:r>
        <w:rPr>
          <w:sz w:val="19"/>
        </w:rPr>
        <w:t>in</w:t>
      </w:r>
      <w:r>
        <w:rPr>
          <w:spacing w:val="-4"/>
          <w:sz w:val="19"/>
        </w:rPr>
        <w:t> </w:t>
      </w:r>
      <w:r>
        <w:rPr>
          <w:sz w:val="19"/>
        </w:rPr>
        <w:t>writing</w:t>
      </w:r>
      <w:r>
        <w:rPr>
          <w:spacing w:val="-2"/>
          <w:sz w:val="19"/>
        </w:rPr>
        <w:t> </w:t>
      </w:r>
      <w:r>
        <w:rPr>
          <w:sz w:val="19"/>
        </w:rPr>
        <w:t>by</w:t>
      </w:r>
      <w:r>
        <w:rPr>
          <w:spacing w:val="-2"/>
          <w:sz w:val="19"/>
        </w:rPr>
        <w:t> </w:t>
      </w:r>
      <w:r>
        <w:rPr>
          <w:sz w:val="19"/>
        </w:rPr>
        <w:t>a physician, to preclude completion of the course(s), Death of the student or death in the</w:t>
      </w:r>
    </w:p>
    <w:p>
      <w:pPr>
        <w:spacing w:after="0" w:line="489" w:lineRule="auto"/>
        <w:jc w:val="left"/>
        <w:rPr>
          <w:sz w:val="19"/>
        </w:rPr>
        <w:sectPr>
          <w:pgSz w:w="12240" w:h="15840"/>
          <w:pgMar w:top="1420" w:bottom="280" w:left="800" w:right="1020"/>
        </w:sectPr>
      </w:pPr>
    </w:p>
    <w:p>
      <w:pPr>
        <w:pStyle w:val="BodyText"/>
        <w:spacing w:before="80"/>
        <w:ind w:left="366"/>
      </w:pPr>
      <w:r>
        <w:rPr/>
        <w:t>immediate</w:t>
      </w:r>
      <w:r>
        <w:rPr>
          <w:spacing w:val="-7"/>
        </w:rPr>
        <w:t> </w:t>
      </w:r>
      <w:r>
        <w:rPr/>
        <w:t>family</w:t>
      </w:r>
      <w:r>
        <w:rPr>
          <w:spacing w:val="-5"/>
        </w:rPr>
        <w:t> </w:t>
      </w:r>
      <w:r>
        <w:rPr/>
        <w:t>(parent,</w:t>
      </w:r>
      <w:r>
        <w:rPr>
          <w:spacing w:val="-6"/>
        </w:rPr>
        <w:t> </w:t>
      </w:r>
      <w:r>
        <w:rPr/>
        <w:t>spouse,</w:t>
      </w:r>
      <w:r>
        <w:rPr>
          <w:spacing w:val="-5"/>
        </w:rPr>
        <w:t> </w:t>
      </w:r>
      <w:r>
        <w:rPr/>
        <w:t>child</w:t>
      </w:r>
      <w:r>
        <w:rPr>
          <w:spacing w:val="-7"/>
        </w:rPr>
        <w:t> </w:t>
      </w:r>
      <w:r>
        <w:rPr/>
        <w:t>or</w:t>
      </w:r>
      <w:r>
        <w:rPr>
          <w:spacing w:val="-7"/>
        </w:rPr>
        <w:t> </w:t>
      </w:r>
      <w:r>
        <w:rPr>
          <w:spacing w:val="-2"/>
        </w:rPr>
        <w:t>sibling),</w:t>
      </w:r>
    </w:p>
    <w:p>
      <w:pPr>
        <w:pStyle w:val="BodyText"/>
        <w:spacing w:before="4"/>
      </w:pPr>
    </w:p>
    <w:p>
      <w:pPr>
        <w:pStyle w:val="ListParagraph"/>
        <w:numPr>
          <w:ilvl w:val="1"/>
          <w:numId w:val="5"/>
        </w:numPr>
        <w:tabs>
          <w:tab w:pos="1530" w:val="left" w:leader="none"/>
          <w:tab w:pos="1531" w:val="left" w:leader="none"/>
        </w:tabs>
        <w:spacing w:line="240" w:lineRule="auto" w:before="1" w:after="0"/>
        <w:ind w:left="1530" w:right="0" w:hanging="584"/>
        <w:jc w:val="left"/>
        <w:rPr>
          <w:sz w:val="19"/>
        </w:rPr>
      </w:pPr>
      <w:r>
        <w:rPr>
          <w:sz w:val="19"/>
        </w:rPr>
        <w:t>Involuntary</w:t>
      </w:r>
      <w:r>
        <w:rPr>
          <w:spacing w:val="-6"/>
          <w:sz w:val="19"/>
        </w:rPr>
        <w:t> </w:t>
      </w:r>
      <w:r>
        <w:rPr>
          <w:sz w:val="19"/>
        </w:rPr>
        <w:t>call</w:t>
      </w:r>
      <w:r>
        <w:rPr>
          <w:spacing w:val="-7"/>
          <w:sz w:val="19"/>
        </w:rPr>
        <w:t> </w:t>
      </w:r>
      <w:r>
        <w:rPr>
          <w:sz w:val="19"/>
        </w:rPr>
        <w:t>to</w:t>
      </w:r>
      <w:r>
        <w:rPr>
          <w:spacing w:val="-6"/>
          <w:sz w:val="19"/>
        </w:rPr>
        <w:t> </w:t>
      </w:r>
      <w:r>
        <w:rPr>
          <w:sz w:val="19"/>
        </w:rPr>
        <w:t>active</w:t>
      </w:r>
      <w:r>
        <w:rPr>
          <w:spacing w:val="-7"/>
          <w:sz w:val="19"/>
        </w:rPr>
        <w:t> </w:t>
      </w:r>
      <w:r>
        <w:rPr>
          <w:sz w:val="19"/>
        </w:rPr>
        <w:t>military</w:t>
      </w:r>
      <w:r>
        <w:rPr>
          <w:spacing w:val="-3"/>
          <w:sz w:val="19"/>
        </w:rPr>
        <w:t> </w:t>
      </w:r>
      <w:r>
        <w:rPr>
          <w:spacing w:val="-4"/>
          <w:sz w:val="19"/>
        </w:rPr>
        <w:t>duty,</w:t>
      </w:r>
    </w:p>
    <w:p>
      <w:pPr>
        <w:pStyle w:val="BodyText"/>
        <w:rPr>
          <w:sz w:val="20"/>
        </w:rPr>
      </w:pPr>
    </w:p>
    <w:p>
      <w:pPr>
        <w:pStyle w:val="ListParagraph"/>
        <w:numPr>
          <w:ilvl w:val="1"/>
          <w:numId w:val="5"/>
        </w:numPr>
        <w:tabs>
          <w:tab w:pos="1530" w:val="left" w:leader="none"/>
          <w:tab w:pos="1531" w:val="left" w:leader="none"/>
        </w:tabs>
        <w:spacing w:line="240" w:lineRule="auto" w:before="0" w:after="0"/>
        <w:ind w:left="1530" w:right="0" w:hanging="584"/>
        <w:jc w:val="left"/>
        <w:rPr>
          <w:sz w:val="19"/>
        </w:rPr>
      </w:pPr>
      <w:r>
        <w:rPr>
          <w:sz w:val="19"/>
        </w:rPr>
        <w:t>Or</w:t>
      </w:r>
      <w:r>
        <w:rPr>
          <w:spacing w:val="-6"/>
          <w:sz w:val="19"/>
        </w:rPr>
        <w:t> </w:t>
      </w:r>
      <w:r>
        <w:rPr>
          <w:sz w:val="19"/>
        </w:rPr>
        <w:t>a</w:t>
      </w:r>
      <w:r>
        <w:rPr>
          <w:spacing w:val="-4"/>
          <w:sz w:val="19"/>
        </w:rPr>
        <w:t> </w:t>
      </w:r>
      <w:r>
        <w:rPr>
          <w:sz w:val="19"/>
        </w:rPr>
        <w:t>situation</w:t>
      </w:r>
      <w:r>
        <w:rPr>
          <w:spacing w:val="-3"/>
          <w:sz w:val="19"/>
        </w:rPr>
        <w:t> </w:t>
      </w:r>
      <w:r>
        <w:rPr>
          <w:sz w:val="19"/>
        </w:rPr>
        <w:t>in</w:t>
      </w:r>
      <w:r>
        <w:rPr>
          <w:spacing w:val="-3"/>
          <w:sz w:val="19"/>
        </w:rPr>
        <w:t> </w:t>
      </w:r>
      <w:r>
        <w:rPr>
          <w:sz w:val="19"/>
        </w:rPr>
        <w:t>which</w:t>
      </w:r>
      <w:r>
        <w:rPr>
          <w:spacing w:val="-5"/>
          <w:sz w:val="19"/>
        </w:rPr>
        <w:t> </w:t>
      </w:r>
      <w:r>
        <w:rPr>
          <w:sz w:val="19"/>
        </w:rPr>
        <w:t>the</w:t>
      </w:r>
      <w:r>
        <w:rPr>
          <w:spacing w:val="-4"/>
          <w:sz w:val="19"/>
        </w:rPr>
        <w:t> </w:t>
      </w:r>
      <w:r>
        <w:rPr>
          <w:sz w:val="19"/>
        </w:rPr>
        <w:t>University</w:t>
      </w:r>
      <w:r>
        <w:rPr>
          <w:spacing w:val="-3"/>
          <w:sz w:val="19"/>
        </w:rPr>
        <w:t> </w:t>
      </w:r>
      <w:r>
        <w:rPr>
          <w:sz w:val="19"/>
        </w:rPr>
        <w:t>is</w:t>
      </w:r>
      <w:r>
        <w:rPr>
          <w:spacing w:val="-4"/>
          <w:sz w:val="19"/>
        </w:rPr>
        <w:t> </w:t>
      </w:r>
      <w:r>
        <w:rPr>
          <w:sz w:val="19"/>
        </w:rPr>
        <w:t>in</w:t>
      </w:r>
      <w:r>
        <w:rPr>
          <w:spacing w:val="11"/>
          <w:sz w:val="19"/>
        </w:rPr>
        <w:t> </w:t>
      </w:r>
      <w:r>
        <w:rPr>
          <w:spacing w:val="-2"/>
          <w:sz w:val="19"/>
        </w:rPr>
        <w:t>error.</w:t>
      </w:r>
    </w:p>
    <w:p>
      <w:pPr>
        <w:pStyle w:val="BodyText"/>
        <w:spacing w:before="9"/>
      </w:pPr>
    </w:p>
    <w:p>
      <w:pPr>
        <w:pStyle w:val="ListParagraph"/>
        <w:numPr>
          <w:ilvl w:val="0"/>
          <w:numId w:val="5"/>
        </w:numPr>
        <w:tabs>
          <w:tab w:pos="1530" w:val="left" w:leader="none"/>
          <w:tab w:pos="1531" w:val="left" w:leader="none"/>
        </w:tabs>
        <w:spacing w:line="489" w:lineRule="auto" w:before="0" w:after="0"/>
        <w:ind w:left="366" w:right="2636" w:firstLine="580"/>
        <w:jc w:val="left"/>
        <w:rPr>
          <w:sz w:val="19"/>
        </w:rPr>
      </w:pPr>
      <w:r>
        <w:rPr>
          <w:sz w:val="19"/>
        </w:rPr>
        <w:t>Tuition</w:t>
      </w:r>
      <w:r>
        <w:rPr>
          <w:spacing w:val="-3"/>
          <w:sz w:val="19"/>
        </w:rPr>
        <w:t> </w:t>
      </w:r>
      <w:r>
        <w:rPr>
          <w:sz w:val="19"/>
        </w:rPr>
        <w:t>fee</w:t>
      </w:r>
      <w:r>
        <w:rPr>
          <w:spacing w:val="-4"/>
          <w:sz w:val="19"/>
        </w:rPr>
        <w:t> </w:t>
      </w:r>
      <w:r>
        <w:rPr>
          <w:sz w:val="19"/>
        </w:rPr>
        <w:t>refunds</w:t>
      </w:r>
      <w:r>
        <w:rPr>
          <w:spacing w:val="-5"/>
          <w:sz w:val="19"/>
        </w:rPr>
        <w:t> </w:t>
      </w:r>
      <w:r>
        <w:rPr>
          <w:sz w:val="19"/>
        </w:rPr>
        <w:t>provided</w:t>
      </w:r>
      <w:r>
        <w:rPr>
          <w:spacing w:val="-3"/>
          <w:sz w:val="19"/>
        </w:rPr>
        <w:t> </w:t>
      </w:r>
      <w:r>
        <w:rPr>
          <w:sz w:val="19"/>
        </w:rPr>
        <w:t>to</w:t>
      </w:r>
      <w:r>
        <w:rPr>
          <w:spacing w:val="-4"/>
          <w:sz w:val="19"/>
        </w:rPr>
        <w:t> </w:t>
      </w:r>
      <w:r>
        <w:rPr>
          <w:sz w:val="19"/>
        </w:rPr>
        <w:t>students</w:t>
      </w:r>
      <w:r>
        <w:rPr>
          <w:spacing w:val="-5"/>
          <w:sz w:val="19"/>
        </w:rPr>
        <w:t> </w:t>
      </w:r>
      <w:r>
        <w:rPr>
          <w:sz w:val="19"/>
        </w:rPr>
        <w:t>will</w:t>
      </w:r>
      <w:r>
        <w:rPr>
          <w:spacing w:val="-4"/>
          <w:sz w:val="19"/>
        </w:rPr>
        <w:t> </w:t>
      </w:r>
      <w:r>
        <w:rPr>
          <w:sz w:val="19"/>
        </w:rPr>
        <w:t>be</w:t>
      </w:r>
      <w:r>
        <w:rPr>
          <w:spacing w:val="-6"/>
          <w:sz w:val="19"/>
        </w:rPr>
        <w:t> </w:t>
      </w:r>
      <w:r>
        <w:rPr>
          <w:sz w:val="19"/>
        </w:rPr>
        <w:t>processed</w:t>
      </w:r>
      <w:r>
        <w:rPr>
          <w:spacing w:val="-3"/>
          <w:sz w:val="19"/>
        </w:rPr>
        <w:t> </w:t>
      </w:r>
      <w:r>
        <w:rPr>
          <w:sz w:val="19"/>
        </w:rPr>
        <w:t>against</w:t>
      </w:r>
      <w:r>
        <w:rPr>
          <w:spacing w:val="-4"/>
          <w:sz w:val="19"/>
        </w:rPr>
        <w:t> </w:t>
      </w:r>
      <w:r>
        <w:rPr>
          <w:sz w:val="19"/>
        </w:rPr>
        <w:t>any</w:t>
      </w:r>
      <w:r>
        <w:rPr>
          <w:spacing w:val="-4"/>
          <w:sz w:val="19"/>
        </w:rPr>
        <w:t> </w:t>
      </w:r>
      <w:r>
        <w:rPr>
          <w:sz w:val="19"/>
        </w:rPr>
        <w:t>outstanding tuition assessments prior to remitting a check to the student.</w:t>
      </w:r>
    </w:p>
    <w:p>
      <w:pPr>
        <w:spacing w:line="244" w:lineRule="auto" w:before="2"/>
        <w:ind w:left="366" w:right="2664" w:firstLine="0"/>
        <w:jc w:val="left"/>
        <w:rPr>
          <w:i/>
          <w:sz w:val="19"/>
        </w:rPr>
      </w:pPr>
      <w:r>
        <w:rPr>
          <w:i/>
          <w:sz w:val="19"/>
        </w:rPr>
        <w:t>Specific</w:t>
      </w:r>
      <w:r>
        <w:rPr>
          <w:i/>
          <w:spacing w:val="-4"/>
          <w:sz w:val="19"/>
        </w:rPr>
        <w:t> </w:t>
      </w:r>
      <w:r>
        <w:rPr>
          <w:i/>
          <w:sz w:val="19"/>
        </w:rPr>
        <w:t>Authority</w:t>
      </w:r>
      <w:r>
        <w:rPr>
          <w:i/>
          <w:spacing w:val="-4"/>
          <w:sz w:val="19"/>
        </w:rPr>
        <w:t> </w:t>
      </w:r>
      <w:r>
        <w:rPr>
          <w:i/>
          <w:sz w:val="19"/>
        </w:rPr>
        <w:t>1001.74(4),</w:t>
      </w:r>
      <w:r>
        <w:rPr>
          <w:i/>
          <w:spacing w:val="-3"/>
          <w:sz w:val="19"/>
        </w:rPr>
        <w:t> </w:t>
      </w:r>
      <w:r>
        <w:rPr>
          <w:i/>
          <w:sz w:val="19"/>
        </w:rPr>
        <w:t>(10),</w:t>
      </w:r>
      <w:r>
        <w:rPr>
          <w:i/>
          <w:spacing w:val="-3"/>
          <w:sz w:val="19"/>
        </w:rPr>
        <w:t> </w:t>
      </w:r>
      <w:r>
        <w:rPr>
          <w:i/>
          <w:sz w:val="19"/>
        </w:rPr>
        <w:t>(11),</w:t>
      </w:r>
      <w:r>
        <w:rPr>
          <w:i/>
          <w:spacing w:val="-3"/>
          <w:sz w:val="19"/>
        </w:rPr>
        <w:t> </w:t>
      </w:r>
      <w:r>
        <w:rPr>
          <w:i/>
          <w:sz w:val="19"/>
        </w:rPr>
        <w:t>FS.</w:t>
      </w:r>
      <w:r>
        <w:rPr>
          <w:i/>
          <w:spacing w:val="-3"/>
          <w:sz w:val="19"/>
        </w:rPr>
        <w:t> </w:t>
      </w:r>
      <w:r>
        <w:rPr>
          <w:i/>
          <w:sz w:val="19"/>
        </w:rPr>
        <w:t>Law</w:t>
      </w:r>
      <w:r>
        <w:rPr>
          <w:i/>
          <w:spacing w:val="-6"/>
          <w:sz w:val="19"/>
        </w:rPr>
        <w:t> </w:t>
      </w:r>
      <w:r>
        <w:rPr>
          <w:i/>
          <w:sz w:val="19"/>
        </w:rPr>
        <w:t>Implemented</w:t>
      </w:r>
      <w:r>
        <w:rPr>
          <w:i/>
          <w:spacing w:val="-4"/>
          <w:sz w:val="19"/>
        </w:rPr>
        <w:t> </w:t>
      </w:r>
      <w:r>
        <w:rPr>
          <w:i/>
          <w:sz w:val="19"/>
        </w:rPr>
        <w:t>1001.74</w:t>
      </w:r>
      <w:r>
        <w:rPr>
          <w:i/>
          <w:spacing w:val="-3"/>
          <w:sz w:val="19"/>
        </w:rPr>
        <w:t> </w:t>
      </w:r>
      <w:r>
        <w:rPr>
          <w:i/>
          <w:sz w:val="19"/>
        </w:rPr>
        <w:t>(10),</w:t>
      </w:r>
      <w:r>
        <w:rPr>
          <w:i/>
          <w:spacing w:val="-3"/>
          <w:sz w:val="19"/>
        </w:rPr>
        <w:t> </w:t>
      </w:r>
      <w:r>
        <w:rPr>
          <w:i/>
          <w:sz w:val="19"/>
        </w:rPr>
        <w:t>(11),</w:t>
      </w:r>
      <w:r>
        <w:rPr>
          <w:i/>
          <w:spacing w:val="-6"/>
          <w:sz w:val="19"/>
        </w:rPr>
        <w:t> </w:t>
      </w:r>
      <w:r>
        <w:rPr>
          <w:i/>
          <w:sz w:val="19"/>
        </w:rPr>
        <w:t>1010.03(4),</w:t>
      </w:r>
      <w:r>
        <w:rPr>
          <w:i/>
          <w:sz w:val="19"/>
        </w:rPr>
        <w:t> FS. History – New 5-2-04.</w:t>
      </w:r>
    </w:p>
    <w:p>
      <w:pPr>
        <w:pStyle w:val="BodyText"/>
        <w:spacing w:before="10"/>
        <w:rPr>
          <w:i/>
        </w:rPr>
      </w:pPr>
    </w:p>
    <w:p>
      <w:pPr>
        <w:pStyle w:val="Heading1"/>
        <w:ind w:left="118"/>
      </w:pPr>
      <w:bookmarkStart w:name="6C9-8.1005 Deferred Payment of Fees." w:id="7"/>
      <w:bookmarkEnd w:id="7"/>
      <w:r>
        <w:rPr>
          <w:b w:val="0"/>
        </w:rPr>
      </w:r>
      <w:r>
        <w:rPr/>
        <w:t>6C9-8.1005</w:t>
      </w:r>
      <w:r>
        <w:rPr>
          <w:spacing w:val="-8"/>
        </w:rPr>
        <w:t> </w:t>
      </w:r>
      <w:r>
        <w:rPr/>
        <w:t>Deferred</w:t>
      </w:r>
      <w:r>
        <w:rPr>
          <w:spacing w:val="-8"/>
        </w:rPr>
        <w:t> </w:t>
      </w:r>
      <w:r>
        <w:rPr/>
        <w:t>Payment</w:t>
      </w:r>
      <w:r>
        <w:rPr>
          <w:spacing w:val="-9"/>
        </w:rPr>
        <w:t> </w:t>
      </w:r>
      <w:r>
        <w:rPr/>
        <w:t>of</w:t>
      </w:r>
      <w:r>
        <w:rPr>
          <w:spacing w:val="-10"/>
        </w:rPr>
        <w:t> </w:t>
      </w:r>
      <w:r>
        <w:rPr>
          <w:spacing w:val="-2"/>
        </w:rPr>
        <w:t>Fees.</w:t>
      </w:r>
    </w:p>
    <w:p>
      <w:pPr>
        <w:pStyle w:val="BodyText"/>
        <w:spacing w:before="7"/>
        <w:rPr>
          <w:b/>
        </w:rPr>
      </w:pPr>
    </w:p>
    <w:p>
      <w:pPr>
        <w:pStyle w:val="ListParagraph"/>
        <w:numPr>
          <w:ilvl w:val="0"/>
          <w:numId w:val="6"/>
        </w:numPr>
        <w:tabs>
          <w:tab w:pos="1529" w:val="left" w:leader="none"/>
          <w:tab w:pos="1530" w:val="left" w:leader="none"/>
        </w:tabs>
        <w:spacing w:line="489" w:lineRule="auto" w:before="0" w:after="0"/>
        <w:ind w:left="365" w:right="2892" w:firstLine="580"/>
        <w:jc w:val="left"/>
        <w:rPr>
          <w:sz w:val="19"/>
        </w:rPr>
      </w:pPr>
      <w:r>
        <w:rPr>
          <w:sz w:val="19"/>
        </w:rPr>
        <w:t>The</w:t>
      </w:r>
      <w:r>
        <w:rPr>
          <w:spacing w:val="-4"/>
          <w:sz w:val="19"/>
        </w:rPr>
        <w:t> </w:t>
      </w:r>
      <w:r>
        <w:rPr>
          <w:sz w:val="19"/>
        </w:rPr>
        <w:t>University</w:t>
      </w:r>
      <w:r>
        <w:rPr>
          <w:spacing w:val="-3"/>
          <w:sz w:val="19"/>
        </w:rPr>
        <w:t> </w:t>
      </w:r>
      <w:r>
        <w:rPr>
          <w:sz w:val="19"/>
        </w:rPr>
        <w:t>controller</w:t>
      </w:r>
      <w:r>
        <w:rPr>
          <w:spacing w:val="-5"/>
          <w:sz w:val="19"/>
        </w:rPr>
        <w:t> </w:t>
      </w:r>
      <w:r>
        <w:rPr>
          <w:sz w:val="19"/>
        </w:rPr>
        <w:t>or</w:t>
      </w:r>
      <w:r>
        <w:rPr>
          <w:spacing w:val="-5"/>
          <w:sz w:val="19"/>
        </w:rPr>
        <w:t> </w:t>
      </w:r>
      <w:r>
        <w:rPr>
          <w:sz w:val="19"/>
        </w:rPr>
        <w:t>designee</w:t>
      </w:r>
      <w:r>
        <w:rPr>
          <w:spacing w:val="-4"/>
          <w:sz w:val="19"/>
        </w:rPr>
        <w:t> </w:t>
      </w:r>
      <w:r>
        <w:rPr>
          <w:sz w:val="19"/>
        </w:rPr>
        <w:t>will</w:t>
      </w:r>
      <w:r>
        <w:rPr>
          <w:spacing w:val="-4"/>
          <w:sz w:val="19"/>
        </w:rPr>
        <w:t> </w:t>
      </w:r>
      <w:r>
        <w:rPr>
          <w:sz w:val="19"/>
        </w:rPr>
        <w:t>award</w:t>
      </w:r>
      <w:r>
        <w:rPr>
          <w:spacing w:val="-3"/>
          <w:sz w:val="19"/>
        </w:rPr>
        <w:t> </w:t>
      </w:r>
      <w:r>
        <w:rPr>
          <w:sz w:val="19"/>
        </w:rPr>
        <w:t>deferred</w:t>
      </w:r>
      <w:r>
        <w:rPr>
          <w:spacing w:val="-3"/>
          <w:sz w:val="19"/>
        </w:rPr>
        <w:t> </w:t>
      </w:r>
      <w:r>
        <w:rPr>
          <w:sz w:val="19"/>
        </w:rPr>
        <w:t>payment</w:t>
      </w:r>
      <w:r>
        <w:rPr>
          <w:spacing w:val="-4"/>
          <w:sz w:val="19"/>
        </w:rPr>
        <w:t> </w:t>
      </w:r>
      <w:r>
        <w:rPr>
          <w:sz w:val="19"/>
        </w:rPr>
        <w:t>status</w:t>
      </w:r>
      <w:r>
        <w:rPr>
          <w:spacing w:val="-6"/>
          <w:sz w:val="19"/>
        </w:rPr>
        <w:t> </w:t>
      </w:r>
      <w:r>
        <w:rPr>
          <w:sz w:val="19"/>
        </w:rPr>
        <w:t>upon application by a student on grounds that:</w:t>
      </w:r>
    </w:p>
    <w:p>
      <w:pPr>
        <w:pStyle w:val="ListParagraph"/>
        <w:numPr>
          <w:ilvl w:val="1"/>
          <w:numId w:val="6"/>
        </w:numPr>
        <w:tabs>
          <w:tab w:pos="1529" w:val="left" w:leader="none"/>
          <w:tab w:pos="1530" w:val="left" w:leader="none"/>
        </w:tabs>
        <w:spacing w:line="491" w:lineRule="auto" w:before="1" w:after="0"/>
        <w:ind w:left="365" w:right="2819" w:firstLine="580"/>
        <w:jc w:val="left"/>
        <w:rPr>
          <w:sz w:val="19"/>
        </w:rPr>
      </w:pPr>
      <w:r>
        <w:rPr>
          <w:sz w:val="19"/>
        </w:rPr>
        <w:t>Eligibility</w:t>
      </w:r>
      <w:r>
        <w:rPr>
          <w:spacing w:val="-5"/>
          <w:sz w:val="19"/>
        </w:rPr>
        <w:t> </w:t>
      </w:r>
      <w:r>
        <w:rPr>
          <w:sz w:val="19"/>
        </w:rPr>
        <w:t>has</w:t>
      </w:r>
      <w:r>
        <w:rPr>
          <w:spacing w:val="-3"/>
          <w:sz w:val="19"/>
        </w:rPr>
        <w:t> </w:t>
      </w:r>
      <w:r>
        <w:rPr>
          <w:sz w:val="19"/>
        </w:rPr>
        <w:t>been</w:t>
      </w:r>
      <w:r>
        <w:rPr>
          <w:spacing w:val="-5"/>
          <w:sz w:val="19"/>
        </w:rPr>
        <w:t> </w:t>
      </w:r>
      <w:r>
        <w:rPr>
          <w:sz w:val="19"/>
        </w:rPr>
        <w:t>determined</w:t>
      </w:r>
      <w:r>
        <w:rPr>
          <w:spacing w:val="-5"/>
          <w:sz w:val="19"/>
        </w:rPr>
        <w:t> </w:t>
      </w:r>
      <w:r>
        <w:rPr>
          <w:sz w:val="19"/>
        </w:rPr>
        <w:t>for</w:t>
      </w:r>
      <w:r>
        <w:rPr>
          <w:spacing w:val="-5"/>
          <w:sz w:val="19"/>
        </w:rPr>
        <w:t> </w:t>
      </w:r>
      <w:r>
        <w:rPr>
          <w:sz w:val="19"/>
        </w:rPr>
        <w:t>the</w:t>
      </w:r>
      <w:r>
        <w:rPr>
          <w:spacing w:val="-4"/>
          <w:sz w:val="19"/>
        </w:rPr>
        <w:t> </w:t>
      </w:r>
      <w:r>
        <w:rPr>
          <w:sz w:val="19"/>
        </w:rPr>
        <w:t>deferral</w:t>
      </w:r>
      <w:r>
        <w:rPr>
          <w:spacing w:val="-4"/>
          <w:sz w:val="19"/>
        </w:rPr>
        <w:t> </w:t>
      </w:r>
      <w:r>
        <w:rPr>
          <w:sz w:val="19"/>
        </w:rPr>
        <w:t>guaranteed</w:t>
      </w:r>
      <w:r>
        <w:rPr>
          <w:spacing w:val="-3"/>
          <w:sz w:val="19"/>
        </w:rPr>
        <w:t> </w:t>
      </w:r>
      <w:r>
        <w:rPr>
          <w:sz w:val="19"/>
        </w:rPr>
        <w:t>to</w:t>
      </w:r>
      <w:r>
        <w:rPr>
          <w:spacing w:val="-3"/>
          <w:sz w:val="19"/>
        </w:rPr>
        <w:t> </w:t>
      </w:r>
      <w:r>
        <w:rPr>
          <w:sz w:val="19"/>
        </w:rPr>
        <w:t>students</w:t>
      </w:r>
      <w:r>
        <w:rPr>
          <w:spacing w:val="-3"/>
          <w:sz w:val="19"/>
        </w:rPr>
        <w:t> </w:t>
      </w:r>
      <w:r>
        <w:rPr>
          <w:sz w:val="19"/>
        </w:rPr>
        <w:t>receiving veteran’s education assistance benefits or other benefits from federal or state assistance programs, where such aid is delayed in being transmitted to the</w:t>
      </w:r>
      <w:r>
        <w:rPr>
          <w:spacing w:val="-1"/>
          <w:sz w:val="19"/>
        </w:rPr>
        <w:t> </w:t>
      </w:r>
      <w:r>
        <w:rPr>
          <w:sz w:val="19"/>
        </w:rPr>
        <w:t>student through circumstances beyond the control of the student. One ninety (90) day deferment will be granted for each full semester and one thirty (30) day deferment for each summer or mini-semester;</w:t>
      </w:r>
      <w:r>
        <w:rPr>
          <w:spacing w:val="40"/>
          <w:sz w:val="19"/>
        </w:rPr>
        <w:t> </w:t>
      </w:r>
      <w:r>
        <w:rPr>
          <w:sz w:val="19"/>
        </w:rPr>
        <w:t>or</w:t>
      </w:r>
    </w:p>
    <w:p>
      <w:pPr>
        <w:pStyle w:val="ListParagraph"/>
        <w:numPr>
          <w:ilvl w:val="1"/>
          <w:numId w:val="6"/>
        </w:numPr>
        <w:tabs>
          <w:tab w:pos="1529" w:val="left" w:leader="none"/>
          <w:tab w:pos="1530" w:val="left" w:leader="none"/>
        </w:tabs>
        <w:spacing w:line="491" w:lineRule="auto" w:before="0" w:after="0"/>
        <w:ind w:left="365" w:right="3047" w:firstLine="580"/>
        <w:jc w:val="left"/>
        <w:rPr>
          <w:sz w:val="19"/>
        </w:rPr>
      </w:pPr>
      <w:r>
        <w:rPr>
          <w:sz w:val="19"/>
        </w:rPr>
        <w:t>Formal</w:t>
      </w:r>
      <w:r>
        <w:rPr>
          <w:spacing w:val="-4"/>
          <w:sz w:val="19"/>
        </w:rPr>
        <w:t> </w:t>
      </w:r>
      <w:r>
        <w:rPr>
          <w:sz w:val="19"/>
        </w:rPr>
        <w:t>arrangements</w:t>
      </w:r>
      <w:r>
        <w:rPr>
          <w:spacing w:val="-3"/>
          <w:sz w:val="19"/>
        </w:rPr>
        <w:t> </w:t>
      </w:r>
      <w:r>
        <w:rPr>
          <w:sz w:val="19"/>
        </w:rPr>
        <w:t>have</w:t>
      </w:r>
      <w:r>
        <w:rPr>
          <w:spacing w:val="-4"/>
          <w:sz w:val="19"/>
        </w:rPr>
        <w:t> </w:t>
      </w:r>
      <w:r>
        <w:rPr>
          <w:sz w:val="19"/>
        </w:rPr>
        <w:t>been</w:t>
      </w:r>
      <w:r>
        <w:rPr>
          <w:spacing w:val="-5"/>
          <w:sz w:val="19"/>
        </w:rPr>
        <w:t> </w:t>
      </w:r>
      <w:r>
        <w:rPr>
          <w:sz w:val="19"/>
        </w:rPr>
        <w:t>made</w:t>
      </w:r>
      <w:r>
        <w:rPr>
          <w:spacing w:val="-4"/>
          <w:sz w:val="19"/>
        </w:rPr>
        <w:t> </w:t>
      </w:r>
      <w:r>
        <w:rPr>
          <w:sz w:val="19"/>
        </w:rPr>
        <w:t>with</w:t>
      </w:r>
      <w:r>
        <w:rPr>
          <w:spacing w:val="-3"/>
          <w:sz w:val="19"/>
        </w:rPr>
        <w:t> </w:t>
      </w:r>
      <w:r>
        <w:rPr>
          <w:sz w:val="19"/>
        </w:rPr>
        <w:t>the</w:t>
      </w:r>
      <w:r>
        <w:rPr>
          <w:spacing w:val="-4"/>
          <w:sz w:val="19"/>
        </w:rPr>
        <w:t> </w:t>
      </w:r>
      <w:r>
        <w:rPr>
          <w:sz w:val="19"/>
        </w:rPr>
        <w:t>University</w:t>
      </w:r>
      <w:r>
        <w:rPr>
          <w:spacing w:val="-3"/>
          <w:sz w:val="19"/>
        </w:rPr>
        <w:t> </w:t>
      </w:r>
      <w:r>
        <w:rPr>
          <w:sz w:val="19"/>
        </w:rPr>
        <w:t>for</w:t>
      </w:r>
      <w:r>
        <w:rPr>
          <w:spacing w:val="-5"/>
          <w:sz w:val="19"/>
        </w:rPr>
        <w:t> </w:t>
      </w:r>
      <w:r>
        <w:rPr>
          <w:sz w:val="19"/>
        </w:rPr>
        <w:t>payment</w:t>
      </w:r>
      <w:r>
        <w:rPr>
          <w:spacing w:val="-4"/>
          <w:sz w:val="19"/>
        </w:rPr>
        <w:t> </w:t>
      </w:r>
      <w:r>
        <w:rPr>
          <w:sz w:val="19"/>
        </w:rPr>
        <w:t>by</w:t>
      </w:r>
      <w:r>
        <w:rPr>
          <w:spacing w:val="-3"/>
          <w:sz w:val="19"/>
        </w:rPr>
        <w:t> </w:t>
      </w:r>
      <w:r>
        <w:rPr>
          <w:sz w:val="19"/>
        </w:rPr>
        <w:t>an acceptable third party; or</w:t>
      </w:r>
    </w:p>
    <w:p>
      <w:pPr>
        <w:pStyle w:val="ListParagraph"/>
        <w:numPr>
          <w:ilvl w:val="1"/>
          <w:numId w:val="6"/>
        </w:numPr>
        <w:tabs>
          <w:tab w:pos="1529" w:val="left" w:leader="none"/>
          <w:tab w:pos="1530" w:val="left" w:leader="none"/>
        </w:tabs>
        <w:spacing w:line="489" w:lineRule="auto" w:before="0" w:after="0"/>
        <w:ind w:left="366" w:right="3338" w:firstLine="580"/>
        <w:jc w:val="left"/>
        <w:rPr>
          <w:sz w:val="19"/>
        </w:rPr>
      </w:pPr>
      <w:r>
        <w:rPr>
          <w:sz w:val="19"/>
        </w:rPr>
        <w:t>The</w:t>
      </w:r>
      <w:r>
        <w:rPr>
          <w:spacing w:val="-3"/>
          <w:sz w:val="19"/>
        </w:rPr>
        <w:t> </w:t>
      </w:r>
      <w:r>
        <w:rPr>
          <w:sz w:val="19"/>
        </w:rPr>
        <w:t>student</w:t>
      </w:r>
      <w:r>
        <w:rPr>
          <w:spacing w:val="-5"/>
          <w:sz w:val="19"/>
        </w:rPr>
        <w:t> </w:t>
      </w:r>
      <w:r>
        <w:rPr>
          <w:sz w:val="19"/>
        </w:rPr>
        <w:t>is</w:t>
      </w:r>
      <w:r>
        <w:rPr>
          <w:spacing w:val="-2"/>
          <w:sz w:val="19"/>
        </w:rPr>
        <w:t> </w:t>
      </w:r>
      <w:r>
        <w:rPr>
          <w:sz w:val="19"/>
        </w:rPr>
        <w:t>being</w:t>
      </w:r>
      <w:r>
        <w:rPr>
          <w:spacing w:val="-4"/>
          <w:sz w:val="19"/>
        </w:rPr>
        <w:t> </w:t>
      </w:r>
      <w:r>
        <w:rPr>
          <w:sz w:val="19"/>
        </w:rPr>
        <w:t>processed</w:t>
      </w:r>
      <w:r>
        <w:rPr>
          <w:spacing w:val="-2"/>
          <w:sz w:val="19"/>
        </w:rPr>
        <w:t> </w:t>
      </w:r>
      <w:r>
        <w:rPr>
          <w:sz w:val="19"/>
        </w:rPr>
        <w:t>to</w:t>
      </w:r>
      <w:r>
        <w:rPr>
          <w:spacing w:val="-2"/>
          <w:sz w:val="19"/>
        </w:rPr>
        <w:t> </w:t>
      </w:r>
      <w:r>
        <w:rPr>
          <w:sz w:val="19"/>
        </w:rPr>
        <w:t>receive</w:t>
      </w:r>
      <w:r>
        <w:rPr>
          <w:spacing w:val="-3"/>
          <w:sz w:val="19"/>
        </w:rPr>
        <w:t> </w:t>
      </w:r>
      <w:r>
        <w:rPr>
          <w:sz w:val="19"/>
        </w:rPr>
        <w:t>financial</w:t>
      </w:r>
      <w:r>
        <w:rPr>
          <w:spacing w:val="-3"/>
          <w:sz w:val="19"/>
        </w:rPr>
        <w:t> </w:t>
      </w:r>
      <w:r>
        <w:rPr>
          <w:sz w:val="19"/>
        </w:rPr>
        <w:t>aid</w:t>
      </w:r>
      <w:r>
        <w:rPr>
          <w:spacing w:val="-2"/>
          <w:sz w:val="19"/>
        </w:rPr>
        <w:t> </w:t>
      </w:r>
      <w:r>
        <w:rPr>
          <w:sz w:val="19"/>
        </w:rPr>
        <w:t>from</w:t>
      </w:r>
      <w:r>
        <w:rPr>
          <w:spacing w:val="-4"/>
          <w:sz w:val="19"/>
        </w:rPr>
        <w:t> </w:t>
      </w:r>
      <w:r>
        <w:rPr>
          <w:sz w:val="19"/>
        </w:rPr>
        <w:t>the</w:t>
      </w:r>
      <w:r>
        <w:rPr>
          <w:spacing w:val="-6"/>
          <w:sz w:val="19"/>
        </w:rPr>
        <w:t> </w:t>
      </w:r>
      <w:r>
        <w:rPr>
          <w:sz w:val="19"/>
        </w:rPr>
        <w:t>Office</w:t>
      </w:r>
      <w:r>
        <w:rPr>
          <w:spacing w:val="-3"/>
          <w:sz w:val="19"/>
        </w:rPr>
        <w:t> </w:t>
      </w:r>
      <w:r>
        <w:rPr>
          <w:sz w:val="19"/>
        </w:rPr>
        <w:t>of Financial Aid; or</w:t>
      </w:r>
    </w:p>
    <w:p>
      <w:pPr>
        <w:pStyle w:val="ListParagraph"/>
        <w:numPr>
          <w:ilvl w:val="1"/>
          <w:numId w:val="6"/>
        </w:numPr>
        <w:tabs>
          <w:tab w:pos="1529" w:val="left" w:leader="none"/>
          <w:tab w:pos="1530" w:val="left" w:leader="none"/>
        </w:tabs>
        <w:spacing w:line="491" w:lineRule="auto" w:before="0" w:after="0"/>
        <w:ind w:left="366" w:right="2842" w:firstLine="580"/>
        <w:jc w:val="left"/>
        <w:rPr>
          <w:sz w:val="19"/>
        </w:rPr>
      </w:pPr>
      <w:r>
        <w:rPr>
          <w:sz w:val="19"/>
        </w:rPr>
        <w:t>Extraordinary</w:t>
      </w:r>
      <w:r>
        <w:rPr>
          <w:spacing w:val="-4"/>
          <w:sz w:val="19"/>
        </w:rPr>
        <w:t> </w:t>
      </w:r>
      <w:r>
        <w:rPr>
          <w:sz w:val="19"/>
        </w:rPr>
        <w:t>circumstances</w:t>
      </w:r>
      <w:r>
        <w:rPr>
          <w:spacing w:val="-4"/>
          <w:sz w:val="19"/>
        </w:rPr>
        <w:t> </w:t>
      </w:r>
      <w:r>
        <w:rPr>
          <w:sz w:val="19"/>
        </w:rPr>
        <w:t>exist</w:t>
      </w:r>
      <w:r>
        <w:rPr>
          <w:spacing w:val="-4"/>
          <w:sz w:val="19"/>
        </w:rPr>
        <w:t> </w:t>
      </w:r>
      <w:r>
        <w:rPr>
          <w:sz w:val="19"/>
        </w:rPr>
        <w:t>and</w:t>
      </w:r>
      <w:r>
        <w:rPr>
          <w:spacing w:val="-4"/>
          <w:sz w:val="19"/>
        </w:rPr>
        <w:t> </w:t>
      </w:r>
      <w:r>
        <w:rPr>
          <w:sz w:val="19"/>
        </w:rPr>
        <w:t>the</w:t>
      </w:r>
      <w:r>
        <w:rPr>
          <w:spacing w:val="-4"/>
          <w:sz w:val="19"/>
        </w:rPr>
        <w:t> </w:t>
      </w:r>
      <w:r>
        <w:rPr>
          <w:sz w:val="19"/>
        </w:rPr>
        <w:t>deferment</w:t>
      </w:r>
      <w:r>
        <w:rPr>
          <w:spacing w:val="-4"/>
          <w:sz w:val="19"/>
        </w:rPr>
        <w:t> </w:t>
      </w:r>
      <w:r>
        <w:rPr>
          <w:sz w:val="19"/>
        </w:rPr>
        <w:t>has</w:t>
      </w:r>
      <w:r>
        <w:rPr>
          <w:spacing w:val="-4"/>
          <w:sz w:val="19"/>
        </w:rPr>
        <w:t> </w:t>
      </w:r>
      <w:r>
        <w:rPr>
          <w:sz w:val="19"/>
        </w:rPr>
        <w:t>the</w:t>
      </w:r>
      <w:r>
        <w:rPr>
          <w:spacing w:val="-4"/>
          <w:sz w:val="19"/>
        </w:rPr>
        <w:t> </w:t>
      </w:r>
      <w:r>
        <w:rPr>
          <w:sz w:val="19"/>
        </w:rPr>
        <w:t>concurrence</w:t>
      </w:r>
      <w:r>
        <w:rPr>
          <w:spacing w:val="-4"/>
          <w:sz w:val="19"/>
        </w:rPr>
        <w:t> </w:t>
      </w:r>
      <w:r>
        <w:rPr>
          <w:sz w:val="19"/>
        </w:rPr>
        <w:t>of</w:t>
      </w:r>
      <w:r>
        <w:rPr>
          <w:spacing w:val="-5"/>
          <w:sz w:val="19"/>
        </w:rPr>
        <w:t> </w:t>
      </w:r>
      <w:r>
        <w:rPr>
          <w:sz w:val="19"/>
        </w:rPr>
        <w:t>the University President or designee.</w:t>
      </w:r>
    </w:p>
    <w:p>
      <w:pPr>
        <w:pStyle w:val="ListParagraph"/>
        <w:numPr>
          <w:ilvl w:val="0"/>
          <w:numId w:val="6"/>
        </w:numPr>
        <w:tabs>
          <w:tab w:pos="1530" w:val="left" w:leader="none"/>
          <w:tab w:pos="1531" w:val="left" w:leader="none"/>
        </w:tabs>
        <w:spacing w:line="489" w:lineRule="auto" w:before="0" w:after="0"/>
        <w:ind w:left="366" w:right="2803" w:firstLine="580"/>
        <w:jc w:val="left"/>
        <w:rPr>
          <w:sz w:val="19"/>
        </w:rPr>
      </w:pPr>
      <w:r>
        <w:rPr>
          <w:sz w:val="19"/>
        </w:rPr>
        <w:t>It is the policy of the University to issue financial aid checks after the drop/add period.</w:t>
      </w:r>
      <w:r>
        <w:rPr>
          <w:spacing w:val="-2"/>
          <w:sz w:val="19"/>
        </w:rPr>
        <w:t> </w:t>
      </w:r>
      <w:r>
        <w:rPr>
          <w:sz w:val="19"/>
        </w:rPr>
        <w:t>All</w:t>
      </w:r>
      <w:r>
        <w:rPr>
          <w:spacing w:val="-3"/>
          <w:sz w:val="19"/>
        </w:rPr>
        <w:t> </w:t>
      </w:r>
      <w:r>
        <w:rPr>
          <w:sz w:val="19"/>
        </w:rPr>
        <w:t>students</w:t>
      </w:r>
      <w:r>
        <w:rPr>
          <w:spacing w:val="-2"/>
          <w:sz w:val="19"/>
        </w:rPr>
        <w:t> </w:t>
      </w:r>
      <w:r>
        <w:rPr>
          <w:sz w:val="19"/>
        </w:rPr>
        <w:t>who</w:t>
      </w:r>
      <w:r>
        <w:rPr>
          <w:spacing w:val="-2"/>
          <w:sz w:val="19"/>
        </w:rPr>
        <w:t> </w:t>
      </w:r>
      <w:r>
        <w:rPr>
          <w:sz w:val="19"/>
        </w:rPr>
        <w:t>have</w:t>
      </w:r>
      <w:r>
        <w:rPr>
          <w:spacing w:val="-3"/>
          <w:sz w:val="19"/>
        </w:rPr>
        <w:t> </w:t>
      </w:r>
      <w:r>
        <w:rPr>
          <w:sz w:val="19"/>
        </w:rPr>
        <w:t>appropriately</w:t>
      </w:r>
      <w:r>
        <w:rPr>
          <w:spacing w:val="-2"/>
          <w:sz w:val="19"/>
        </w:rPr>
        <w:t> </w:t>
      </w:r>
      <w:r>
        <w:rPr>
          <w:sz w:val="19"/>
        </w:rPr>
        <w:t>applied</w:t>
      </w:r>
      <w:r>
        <w:rPr>
          <w:spacing w:val="-2"/>
          <w:sz w:val="19"/>
        </w:rPr>
        <w:t> </w:t>
      </w:r>
      <w:r>
        <w:rPr>
          <w:sz w:val="19"/>
        </w:rPr>
        <w:t>for</w:t>
      </w:r>
      <w:r>
        <w:rPr>
          <w:spacing w:val="-4"/>
          <w:sz w:val="19"/>
        </w:rPr>
        <w:t> </w:t>
      </w:r>
      <w:r>
        <w:rPr>
          <w:sz w:val="19"/>
        </w:rPr>
        <w:t>financial</w:t>
      </w:r>
      <w:r>
        <w:rPr>
          <w:spacing w:val="-3"/>
          <w:sz w:val="19"/>
        </w:rPr>
        <w:t> </w:t>
      </w:r>
      <w:r>
        <w:rPr>
          <w:sz w:val="19"/>
        </w:rPr>
        <w:t>aid</w:t>
      </w:r>
      <w:r>
        <w:rPr>
          <w:spacing w:val="-2"/>
          <w:sz w:val="19"/>
        </w:rPr>
        <w:t> </w:t>
      </w:r>
      <w:r>
        <w:rPr>
          <w:sz w:val="19"/>
        </w:rPr>
        <w:t>by</w:t>
      </w:r>
      <w:r>
        <w:rPr>
          <w:spacing w:val="-4"/>
          <w:sz w:val="19"/>
        </w:rPr>
        <w:t> </w:t>
      </w:r>
      <w:r>
        <w:rPr>
          <w:sz w:val="19"/>
        </w:rPr>
        <w:t>the</w:t>
      </w:r>
      <w:r>
        <w:rPr>
          <w:spacing w:val="-3"/>
          <w:sz w:val="19"/>
        </w:rPr>
        <w:t> </w:t>
      </w:r>
      <w:r>
        <w:rPr>
          <w:sz w:val="19"/>
        </w:rPr>
        <w:t>end</w:t>
      </w:r>
      <w:r>
        <w:rPr>
          <w:spacing w:val="-2"/>
          <w:sz w:val="19"/>
        </w:rPr>
        <w:t> </w:t>
      </w:r>
      <w:r>
        <w:rPr>
          <w:sz w:val="19"/>
        </w:rPr>
        <w:t>of</w:t>
      </w:r>
      <w:r>
        <w:rPr>
          <w:spacing w:val="-6"/>
          <w:sz w:val="19"/>
        </w:rPr>
        <w:t> </w:t>
      </w:r>
      <w:r>
        <w:rPr>
          <w:sz w:val="19"/>
        </w:rPr>
        <w:t>drop/add</w:t>
      </w:r>
      <w:r>
        <w:rPr>
          <w:spacing w:val="-2"/>
          <w:sz w:val="19"/>
        </w:rPr>
        <w:t> </w:t>
      </w:r>
      <w:r>
        <w:rPr>
          <w:sz w:val="19"/>
        </w:rPr>
        <w:t>are considered to have applied for a deferment and are granted deferred payment status </w:t>
      </w:r>
      <w:r>
        <w:rPr>
          <w:spacing w:val="-2"/>
          <w:sz w:val="19"/>
        </w:rPr>
        <w:t>automatically.</w:t>
      </w:r>
    </w:p>
    <w:p>
      <w:pPr>
        <w:spacing w:line="216" w:lineRule="exact" w:before="0"/>
        <w:ind w:left="366" w:right="0" w:firstLine="0"/>
        <w:jc w:val="left"/>
        <w:rPr>
          <w:i/>
          <w:sz w:val="19"/>
        </w:rPr>
      </w:pPr>
      <w:r>
        <w:rPr>
          <w:i/>
          <w:sz w:val="19"/>
        </w:rPr>
        <w:t>Specific</w:t>
      </w:r>
      <w:r>
        <w:rPr>
          <w:i/>
          <w:spacing w:val="-7"/>
          <w:sz w:val="19"/>
        </w:rPr>
        <w:t> </w:t>
      </w:r>
      <w:r>
        <w:rPr>
          <w:i/>
          <w:sz w:val="19"/>
        </w:rPr>
        <w:t>Authority</w:t>
      </w:r>
      <w:r>
        <w:rPr>
          <w:i/>
          <w:spacing w:val="-7"/>
          <w:sz w:val="19"/>
        </w:rPr>
        <w:t> </w:t>
      </w:r>
      <w:r>
        <w:rPr>
          <w:i/>
          <w:sz w:val="19"/>
        </w:rPr>
        <w:t>1001.74(4),</w:t>
      </w:r>
      <w:r>
        <w:rPr>
          <w:i/>
          <w:spacing w:val="-6"/>
          <w:sz w:val="19"/>
        </w:rPr>
        <w:t> </w:t>
      </w:r>
      <w:r>
        <w:rPr>
          <w:i/>
          <w:sz w:val="19"/>
        </w:rPr>
        <w:t>(11),</w:t>
      </w:r>
      <w:r>
        <w:rPr>
          <w:i/>
          <w:spacing w:val="-6"/>
          <w:sz w:val="19"/>
        </w:rPr>
        <w:t> </w:t>
      </w:r>
      <w:r>
        <w:rPr>
          <w:i/>
          <w:sz w:val="19"/>
        </w:rPr>
        <w:t>FS.</w:t>
      </w:r>
      <w:r>
        <w:rPr>
          <w:i/>
          <w:spacing w:val="-5"/>
          <w:sz w:val="19"/>
        </w:rPr>
        <w:t> </w:t>
      </w:r>
      <w:r>
        <w:rPr>
          <w:i/>
          <w:sz w:val="19"/>
        </w:rPr>
        <w:t>Law</w:t>
      </w:r>
      <w:r>
        <w:rPr>
          <w:i/>
          <w:spacing w:val="-6"/>
          <w:sz w:val="19"/>
        </w:rPr>
        <w:t> </w:t>
      </w:r>
      <w:r>
        <w:rPr>
          <w:i/>
          <w:sz w:val="19"/>
        </w:rPr>
        <w:t>Implemented</w:t>
      </w:r>
      <w:r>
        <w:rPr>
          <w:i/>
          <w:spacing w:val="-8"/>
          <w:sz w:val="19"/>
        </w:rPr>
        <w:t> </w:t>
      </w:r>
      <w:r>
        <w:rPr>
          <w:i/>
          <w:sz w:val="19"/>
        </w:rPr>
        <w:t>1009.27(3)</w:t>
      </w:r>
      <w:r>
        <w:rPr>
          <w:i/>
          <w:spacing w:val="-7"/>
          <w:sz w:val="19"/>
        </w:rPr>
        <w:t> </w:t>
      </w:r>
      <w:r>
        <w:rPr>
          <w:i/>
          <w:sz w:val="19"/>
        </w:rPr>
        <w:t>FS.</w:t>
      </w:r>
      <w:r>
        <w:rPr>
          <w:i/>
          <w:spacing w:val="-6"/>
          <w:sz w:val="19"/>
        </w:rPr>
        <w:t> </w:t>
      </w:r>
      <w:r>
        <w:rPr>
          <w:i/>
          <w:sz w:val="19"/>
        </w:rPr>
        <w:t>History</w:t>
      </w:r>
      <w:r>
        <w:rPr>
          <w:i/>
          <w:spacing w:val="-7"/>
          <w:sz w:val="19"/>
        </w:rPr>
        <w:t> </w:t>
      </w:r>
      <w:r>
        <w:rPr>
          <w:i/>
          <w:sz w:val="19"/>
        </w:rPr>
        <w:t>–</w:t>
      </w:r>
      <w:r>
        <w:rPr>
          <w:i/>
          <w:spacing w:val="-7"/>
          <w:sz w:val="19"/>
        </w:rPr>
        <w:t> </w:t>
      </w:r>
      <w:r>
        <w:rPr>
          <w:i/>
          <w:sz w:val="19"/>
        </w:rPr>
        <w:t>New</w:t>
      </w:r>
      <w:r>
        <w:rPr>
          <w:i/>
          <w:spacing w:val="-8"/>
          <w:sz w:val="19"/>
        </w:rPr>
        <w:t> </w:t>
      </w:r>
      <w:r>
        <w:rPr>
          <w:i/>
          <w:sz w:val="19"/>
        </w:rPr>
        <w:t>5-2-</w:t>
      </w:r>
      <w:r>
        <w:rPr>
          <w:i/>
          <w:spacing w:val="-5"/>
          <w:sz w:val="19"/>
        </w:rPr>
        <w:t>04.</w:t>
      </w:r>
    </w:p>
    <w:p>
      <w:pPr>
        <w:pStyle w:val="BodyText"/>
        <w:spacing w:before="2"/>
        <w:rPr>
          <w:i/>
        </w:rPr>
      </w:pPr>
    </w:p>
    <w:p>
      <w:pPr>
        <w:pStyle w:val="Heading1"/>
        <w:ind w:left="118"/>
      </w:pPr>
      <w:bookmarkStart w:name="6C9-8.1006 Waiver of Non-Florida Student" w:id="8"/>
      <w:bookmarkEnd w:id="8"/>
      <w:r>
        <w:rPr>
          <w:b w:val="0"/>
        </w:rPr>
      </w:r>
      <w:r>
        <w:rPr/>
        <w:t>6C9-8.1006</w:t>
      </w:r>
      <w:r>
        <w:rPr>
          <w:spacing w:val="-7"/>
        </w:rPr>
        <w:t> </w:t>
      </w:r>
      <w:r>
        <w:rPr/>
        <w:t>Waiver</w:t>
      </w:r>
      <w:r>
        <w:rPr>
          <w:spacing w:val="-10"/>
        </w:rPr>
        <w:t> </w:t>
      </w:r>
      <w:r>
        <w:rPr/>
        <w:t>of</w:t>
      </w:r>
      <w:r>
        <w:rPr>
          <w:spacing w:val="-9"/>
        </w:rPr>
        <w:t> </w:t>
      </w:r>
      <w:r>
        <w:rPr/>
        <w:t>Non-Florida</w:t>
      </w:r>
      <w:r>
        <w:rPr>
          <w:spacing w:val="-6"/>
        </w:rPr>
        <w:t> </w:t>
      </w:r>
      <w:r>
        <w:rPr/>
        <w:t>Student</w:t>
      </w:r>
      <w:r>
        <w:rPr>
          <w:spacing w:val="-9"/>
        </w:rPr>
        <w:t> </w:t>
      </w:r>
      <w:r>
        <w:rPr>
          <w:spacing w:val="-2"/>
        </w:rPr>
        <w:t>Tuition.</w:t>
      </w:r>
    </w:p>
    <w:p>
      <w:pPr>
        <w:pStyle w:val="ListParagraph"/>
        <w:numPr>
          <w:ilvl w:val="0"/>
          <w:numId w:val="7"/>
        </w:numPr>
        <w:tabs>
          <w:tab w:pos="1530" w:val="left" w:leader="none"/>
          <w:tab w:pos="1531" w:val="left" w:leader="none"/>
        </w:tabs>
        <w:spacing w:line="240" w:lineRule="auto" w:before="8" w:after="0"/>
        <w:ind w:left="1530" w:right="0" w:hanging="584"/>
        <w:jc w:val="left"/>
        <w:rPr>
          <w:color w:val="C00000"/>
          <w:sz w:val="19"/>
        </w:rPr>
      </w:pPr>
      <w:r>
        <w:rPr>
          <w:sz w:val="19"/>
        </w:rPr>
        <w:t>The</w:t>
      </w:r>
      <w:r>
        <w:rPr>
          <w:spacing w:val="-5"/>
          <w:sz w:val="19"/>
        </w:rPr>
        <w:t> </w:t>
      </w:r>
      <w:r>
        <w:rPr>
          <w:sz w:val="19"/>
        </w:rPr>
        <w:t>President</w:t>
      </w:r>
      <w:r>
        <w:rPr>
          <w:spacing w:val="-5"/>
          <w:sz w:val="19"/>
        </w:rPr>
        <w:t> </w:t>
      </w:r>
      <w:r>
        <w:rPr>
          <w:sz w:val="19"/>
        </w:rPr>
        <w:t>of</w:t>
      </w:r>
      <w:r>
        <w:rPr>
          <w:spacing w:val="-6"/>
          <w:sz w:val="19"/>
        </w:rPr>
        <w:t> </w:t>
      </w:r>
      <w:r>
        <w:rPr>
          <w:sz w:val="19"/>
        </w:rPr>
        <w:t>the</w:t>
      </w:r>
      <w:r>
        <w:rPr>
          <w:spacing w:val="-5"/>
          <w:sz w:val="19"/>
        </w:rPr>
        <w:t> </w:t>
      </w:r>
      <w:r>
        <w:rPr>
          <w:sz w:val="19"/>
        </w:rPr>
        <w:t>University</w:t>
      </w:r>
      <w:r>
        <w:rPr>
          <w:spacing w:val="-5"/>
          <w:sz w:val="19"/>
        </w:rPr>
        <w:t> </w:t>
      </w:r>
      <w:r>
        <w:rPr>
          <w:sz w:val="19"/>
        </w:rPr>
        <w:t>or</w:t>
      </w:r>
      <w:r>
        <w:rPr>
          <w:spacing w:val="-6"/>
          <w:sz w:val="19"/>
        </w:rPr>
        <w:t> </w:t>
      </w:r>
      <w:r>
        <w:rPr>
          <w:sz w:val="19"/>
        </w:rPr>
        <w:t>his</w:t>
      </w:r>
      <w:r>
        <w:rPr>
          <w:spacing w:val="-4"/>
          <w:sz w:val="19"/>
        </w:rPr>
        <w:t> </w:t>
      </w:r>
      <w:r>
        <w:rPr>
          <w:sz w:val="19"/>
        </w:rPr>
        <w:t>designee</w:t>
      </w:r>
      <w:r>
        <w:rPr>
          <w:spacing w:val="-5"/>
          <w:sz w:val="19"/>
        </w:rPr>
        <w:t> </w:t>
      </w:r>
      <w:r>
        <w:rPr>
          <w:sz w:val="19"/>
        </w:rPr>
        <w:t>is</w:t>
      </w:r>
      <w:r>
        <w:rPr>
          <w:spacing w:val="-7"/>
          <w:sz w:val="19"/>
        </w:rPr>
        <w:t> </w:t>
      </w:r>
      <w:r>
        <w:rPr>
          <w:sz w:val="19"/>
        </w:rPr>
        <w:t>authorized</w:t>
      </w:r>
      <w:r>
        <w:rPr>
          <w:spacing w:val="-3"/>
          <w:sz w:val="19"/>
        </w:rPr>
        <w:t> </w:t>
      </w:r>
      <w:r>
        <w:rPr>
          <w:color w:val="C00000"/>
          <w:sz w:val="19"/>
        </w:rPr>
        <w:t>to</w:t>
      </w:r>
      <w:r>
        <w:rPr>
          <w:strike/>
          <w:color w:val="C00000"/>
          <w:spacing w:val="-8"/>
          <w:sz w:val="19"/>
        </w:rPr>
        <w:t> </w:t>
      </w:r>
      <w:r>
        <w:rPr>
          <w:strike/>
          <w:color w:val="C00000"/>
          <w:sz w:val="19"/>
        </w:rPr>
        <w:t>grant</w:t>
      </w:r>
      <w:r>
        <w:rPr>
          <w:strike/>
          <w:color w:val="C00000"/>
          <w:spacing w:val="13"/>
          <w:sz w:val="19"/>
        </w:rPr>
        <w:t> </w:t>
      </w:r>
      <w:r>
        <w:rPr>
          <w:strike/>
          <w:color w:val="C00000"/>
          <w:sz w:val="19"/>
        </w:rPr>
        <w:t>out-of-</w:t>
      </w:r>
      <w:r>
        <w:rPr>
          <w:strike/>
          <w:color w:val="C00000"/>
          <w:spacing w:val="-2"/>
          <w:sz w:val="19"/>
        </w:rPr>
        <w:t>state</w:t>
      </w:r>
    </w:p>
    <w:p>
      <w:pPr>
        <w:spacing w:after="0" w:line="240" w:lineRule="auto"/>
        <w:jc w:val="left"/>
        <w:rPr>
          <w:sz w:val="19"/>
        </w:rPr>
        <w:sectPr>
          <w:pgSz w:w="12240" w:h="15840"/>
          <w:pgMar w:top="1420" w:bottom="280" w:left="800" w:right="1020"/>
        </w:sectPr>
      </w:pPr>
    </w:p>
    <w:p>
      <w:pPr>
        <w:pStyle w:val="BodyText"/>
        <w:spacing w:before="80"/>
        <w:ind w:left="366"/>
      </w:pPr>
      <w:r>
        <w:rPr>
          <w:strike/>
          <w:color w:val="C00000"/>
        </w:rPr>
        <w:t>tuition</w:t>
      </w:r>
      <w:r>
        <w:rPr>
          <w:strike/>
          <w:color w:val="C00000"/>
          <w:spacing w:val="-5"/>
        </w:rPr>
        <w:t> </w:t>
      </w:r>
      <w:r>
        <w:rPr>
          <w:strike/>
          <w:color w:val="C00000"/>
        </w:rPr>
        <w:t>waivers</w:t>
      </w:r>
      <w:r>
        <w:rPr>
          <w:strike/>
          <w:color w:val="C00000"/>
          <w:spacing w:val="-5"/>
        </w:rPr>
        <w:t> </w:t>
      </w:r>
      <w:r>
        <w:rPr>
          <w:strike/>
          <w:color w:val="C00000"/>
        </w:rPr>
        <w:t>to</w:t>
      </w:r>
      <w:r>
        <w:rPr>
          <w:strike/>
          <w:color w:val="C00000"/>
          <w:spacing w:val="-5"/>
        </w:rPr>
        <w:t> </w:t>
      </w:r>
      <w:r>
        <w:rPr>
          <w:strike/>
          <w:color w:val="C00000"/>
        </w:rPr>
        <w:t>non-Florida</w:t>
      </w:r>
      <w:r>
        <w:rPr>
          <w:strike/>
          <w:color w:val="C00000"/>
          <w:spacing w:val="-9"/>
        </w:rPr>
        <w:t> </w:t>
      </w:r>
      <w:r>
        <w:rPr>
          <w:strike/>
          <w:color w:val="C00000"/>
        </w:rPr>
        <w:t>students</w:t>
      </w:r>
      <w:r>
        <w:rPr>
          <w:strike/>
          <w:color w:val="C00000"/>
          <w:spacing w:val="-5"/>
        </w:rPr>
        <w:t> </w:t>
      </w:r>
      <w:r>
        <w:rPr>
          <w:strike/>
          <w:color w:val="C00000"/>
        </w:rPr>
        <w:t>who</w:t>
      </w:r>
      <w:r>
        <w:rPr>
          <w:strike/>
          <w:color w:val="C00000"/>
          <w:spacing w:val="-5"/>
        </w:rPr>
        <w:t> </w:t>
      </w:r>
      <w:r>
        <w:rPr>
          <w:strike/>
          <w:color w:val="C00000"/>
        </w:rPr>
        <w:t>are</w:t>
      </w:r>
      <w:r>
        <w:rPr>
          <w:strike/>
          <w:color w:val="C00000"/>
          <w:spacing w:val="-6"/>
        </w:rPr>
        <w:t> </w:t>
      </w:r>
      <w:r>
        <w:rPr>
          <w:strike/>
          <w:color w:val="C00000"/>
        </w:rPr>
        <w:t>admitted</w:t>
      </w:r>
      <w:r>
        <w:rPr>
          <w:strike/>
          <w:color w:val="C00000"/>
          <w:spacing w:val="-5"/>
        </w:rPr>
        <w:t> </w:t>
      </w:r>
      <w:r>
        <w:rPr>
          <w:strike/>
          <w:color w:val="C00000"/>
        </w:rPr>
        <w:t>to</w:t>
      </w:r>
      <w:r>
        <w:rPr>
          <w:strike/>
          <w:color w:val="C00000"/>
          <w:spacing w:val="-5"/>
        </w:rPr>
        <w:t> </w:t>
      </w:r>
      <w:r>
        <w:rPr>
          <w:strike/>
          <w:color w:val="C00000"/>
        </w:rPr>
        <w:t>the</w:t>
      </w:r>
      <w:r>
        <w:rPr>
          <w:strike/>
          <w:color w:val="C00000"/>
          <w:spacing w:val="-8"/>
        </w:rPr>
        <w:t> </w:t>
      </w:r>
      <w:r>
        <w:rPr>
          <w:strike/>
          <w:color w:val="C00000"/>
        </w:rPr>
        <w:t>uUniversity</w:t>
      </w:r>
      <w:r>
        <w:rPr>
          <w:strike/>
          <w:color w:val="C00000"/>
          <w:spacing w:val="-5"/>
        </w:rPr>
        <w:t> </w:t>
      </w:r>
      <w:r>
        <w:rPr>
          <w:strike/>
          <w:color w:val="C00000"/>
        </w:rPr>
        <w:t>and</w:t>
      </w:r>
      <w:r>
        <w:rPr>
          <w:strike/>
          <w:color w:val="C00000"/>
          <w:spacing w:val="-5"/>
        </w:rPr>
        <w:t> </w:t>
      </w:r>
      <w:r>
        <w:rPr>
          <w:strike/>
          <w:color w:val="C00000"/>
        </w:rPr>
        <w:t>who</w:t>
      </w:r>
      <w:r>
        <w:rPr>
          <w:strike/>
          <w:color w:val="C00000"/>
          <w:spacing w:val="-7"/>
        </w:rPr>
        <w:t> </w:t>
      </w:r>
      <w:r>
        <w:rPr>
          <w:strike/>
          <w:color w:val="C00000"/>
          <w:spacing w:val="-4"/>
        </w:rPr>
        <w:t>have</w:t>
      </w:r>
    </w:p>
    <w:p>
      <w:pPr>
        <w:pStyle w:val="BodyText"/>
        <w:rPr>
          <w:sz w:val="11"/>
        </w:rPr>
      </w:pPr>
    </w:p>
    <w:p>
      <w:pPr>
        <w:pStyle w:val="BodyText"/>
        <w:spacing w:before="92"/>
        <w:ind w:left="366"/>
      </w:pPr>
      <w:r>
        <w:rPr>
          <w:strike/>
          <w:color w:val="C00000"/>
        </w:rPr>
        <w:t>demonstrated</w:t>
      </w:r>
      <w:r>
        <w:rPr>
          <w:strike/>
          <w:color w:val="C00000"/>
          <w:spacing w:val="-6"/>
        </w:rPr>
        <w:t> </w:t>
      </w:r>
      <w:r>
        <w:rPr>
          <w:strike/>
          <w:color w:val="C00000"/>
        </w:rPr>
        <w:t>special</w:t>
      </w:r>
      <w:r>
        <w:rPr>
          <w:strike/>
          <w:color w:val="C00000"/>
          <w:spacing w:val="-7"/>
        </w:rPr>
        <w:t> </w:t>
      </w:r>
      <w:r>
        <w:rPr>
          <w:strike/>
          <w:color w:val="C00000"/>
        </w:rPr>
        <w:t>skills</w:t>
      </w:r>
      <w:r>
        <w:rPr>
          <w:strike/>
          <w:color w:val="C00000"/>
          <w:spacing w:val="-8"/>
        </w:rPr>
        <w:t> </w:t>
      </w:r>
      <w:r>
        <w:rPr>
          <w:strike/>
          <w:color w:val="C00000"/>
        </w:rPr>
        <w:t>or</w:t>
      </w:r>
      <w:r>
        <w:rPr>
          <w:strike/>
          <w:color w:val="C00000"/>
          <w:spacing w:val="-7"/>
        </w:rPr>
        <w:t> </w:t>
      </w:r>
      <w:r>
        <w:rPr>
          <w:strike/>
          <w:color w:val="C00000"/>
        </w:rPr>
        <w:t>attributes</w:t>
      </w:r>
      <w:r>
        <w:rPr>
          <w:strike/>
          <w:color w:val="C00000"/>
          <w:spacing w:val="-6"/>
        </w:rPr>
        <w:t> </w:t>
      </w:r>
      <w:r>
        <w:rPr>
          <w:strike/>
          <w:color w:val="C00000"/>
        </w:rPr>
        <w:t>which</w:t>
      </w:r>
      <w:r>
        <w:rPr>
          <w:strike/>
          <w:color w:val="C00000"/>
          <w:spacing w:val="-5"/>
        </w:rPr>
        <w:t> </w:t>
      </w:r>
      <w:r>
        <w:rPr>
          <w:strike/>
          <w:color w:val="C00000"/>
        </w:rPr>
        <w:t>may</w:t>
      </w:r>
      <w:r>
        <w:rPr>
          <w:strike/>
          <w:color w:val="C00000"/>
          <w:spacing w:val="-6"/>
        </w:rPr>
        <w:t> </w:t>
      </w:r>
      <w:r>
        <w:rPr>
          <w:strike/>
          <w:color w:val="C00000"/>
        </w:rPr>
        <w:t>contribute</w:t>
      </w:r>
      <w:r>
        <w:rPr>
          <w:strike/>
          <w:color w:val="C00000"/>
          <w:spacing w:val="-6"/>
        </w:rPr>
        <w:t> </w:t>
      </w:r>
      <w:r>
        <w:rPr>
          <w:strike/>
          <w:color w:val="C00000"/>
        </w:rPr>
        <w:t>positively</w:t>
      </w:r>
      <w:r>
        <w:rPr>
          <w:strike/>
          <w:color w:val="C00000"/>
          <w:spacing w:val="-8"/>
        </w:rPr>
        <w:t> </w:t>
      </w:r>
      <w:r>
        <w:rPr>
          <w:strike/>
          <w:color w:val="C00000"/>
        </w:rPr>
        <w:t>to</w:t>
      </w:r>
      <w:r>
        <w:rPr>
          <w:strike/>
          <w:color w:val="C00000"/>
          <w:spacing w:val="-5"/>
        </w:rPr>
        <w:t> </w:t>
      </w:r>
      <w:r>
        <w:rPr>
          <w:strike/>
          <w:color w:val="C00000"/>
        </w:rPr>
        <w:t>the</w:t>
      </w:r>
      <w:r>
        <w:rPr>
          <w:strike/>
          <w:color w:val="C00000"/>
          <w:spacing w:val="-7"/>
        </w:rPr>
        <w:t> </w:t>
      </w:r>
      <w:r>
        <w:rPr>
          <w:strike/>
          <w:color w:val="C00000"/>
          <w:spacing w:val="-2"/>
        </w:rPr>
        <w:t>academic</w:t>
      </w:r>
    </w:p>
    <w:p>
      <w:pPr>
        <w:pStyle w:val="BodyText"/>
        <w:rPr>
          <w:sz w:val="12"/>
        </w:rPr>
      </w:pPr>
    </w:p>
    <w:p>
      <w:pPr>
        <w:pStyle w:val="BodyText"/>
        <w:spacing w:before="92"/>
        <w:ind w:left="366"/>
      </w:pPr>
      <w:r>
        <w:rPr>
          <w:strike/>
          <w:color w:val="C00000"/>
        </w:rPr>
        <w:t>environment</w:t>
      </w:r>
      <w:r>
        <w:rPr>
          <w:strike w:val="0"/>
          <w:color w:val="C00000"/>
          <w:spacing w:val="-7"/>
        </w:rPr>
        <w:t> </w:t>
      </w:r>
      <w:r>
        <w:rPr>
          <w:strike w:val="0"/>
          <w:color w:val="C00000"/>
        </w:rPr>
        <w:t>waive</w:t>
      </w:r>
      <w:r>
        <w:rPr>
          <w:strike w:val="0"/>
          <w:color w:val="C00000"/>
          <w:spacing w:val="-6"/>
        </w:rPr>
        <w:t> </w:t>
      </w:r>
      <w:r>
        <w:rPr>
          <w:strike w:val="0"/>
          <w:color w:val="C00000"/>
        </w:rPr>
        <w:t>tuition</w:t>
      </w:r>
      <w:r>
        <w:rPr>
          <w:strike w:val="0"/>
          <w:color w:val="C00000"/>
          <w:spacing w:val="-7"/>
        </w:rPr>
        <w:t> </w:t>
      </w:r>
      <w:r>
        <w:rPr>
          <w:strike w:val="0"/>
          <w:color w:val="C00000"/>
        </w:rPr>
        <w:t>and</w:t>
      </w:r>
      <w:r>
        <w:rPr>
          <w:strike w:val="0"/>
          <w:color w:val="C00000"/>
          <w:spacing w:val="-10"/>
        </w:rPr>
        <w:t> </w:t>
      </w:r>
      <w:r>
        <w:rPr>
          <w:strike w:val="0"/>
          <w:color w:val="C00000"/>
        </w:rPr>
        <w:t>out-of-state</w:t>
      </w:r>
      <w:r>
        <w:rPr>
          <w:strike w:val="0"/>
          <w:color w:val="C00000"/>
          <w:spacing w:val="-6"/>
        </w:rPr>
        <w:t> </w:t>
      </w:r>
      <w:r>
        <w:rPr>
          <w:strike w:val="0"/>
          <w:color w:val="C00000"/>
        </w:rPr>
        <w:t>fees</w:t>
      </w:r>
      <w:r>
        <w:rPr>
          <w:strike w:val="0"/>
          <w:color w:val="C00000"/>
          <w:spacing w:val="-5"/>
        </w:rPr>
        <w:t> </w:t>
      </w:r>
      <w:r>
        <w:rPr>
          <w:strike w:val="0"/>
          <w:color w:val="C00000"/>
        </w:rPr>
        <w:t>for</w:t>
      </w:r>
      <w:r>
        <w:rPr>
          <w:strike w:val="0"/>
          <w:color w:val="C00000"/>
          <w:spacing w:val="-7"/>
        </w:rPr>
        <w:t> </w:t>
      </w:r>
      <w:r>
        <w:rPr>
          <w:strike w:val="0"/>
          <w:color w:val="C00000"/>
        </w:rPr>
        <w:t>purposes</w:t>
      </w:r>
      <w:r>
        <w:rPr>
          <w:strike w:val="0"/>
          <w:color w:val="C00000"/>
          <w:spacing w:val="-8"/>
        </w:rPr>
        <w:t> </w:t>
      </w:r>
      <w:r>
        <w:rPr>
          <w:strike w:val="0"/>
          <w:color w:val="C00000"/>
        </w:rPr>
        <w:t>which</w:t>
      </w:r>
      <w:r>
        <w:rPr>
          <w:strike w:val="0"/>
          <w:color w:val="C00000"/>
          <w:spacing w:val="-5"/>
        </w:rPr>
        <w:t> </w:t>
      </w:r>
      <w:r>
        <w:rPr>
          <w:strike w:val="0"/>
          <w:color w:val="C00000"/>
        </w:rPr>
        <w:t>support</w:t>
      </w:r>
      <w:r>
        <w:rPr>
          <w:strike w:val="0"/>
          <w:color w:val="C00000"/>
          <w:spacing w:val="-6"/>
        </w:rPr>
        <w:t> </w:t>
      </w:r>
      <w:r>
        <w:rPr>
          <w:strike w:val="0"/>
          <w:color w:val="C00000"/>
        </w:rPr>
        <w:t>and</w:t>
      </w:r>
      <w:r>
        <w:rPr>
          <w:strike w:val="0"/>
          <w:color w:val="C00000"/>
          <w:spacing w:val="-5"/>
        </w:rPr>
        <w:t> </w:t>
      </w:r>
      <w:r>
        <w:rPr>
          <w:strike w:val="0"/>
          <w:color w:val="C00000"/>
        </w:rPr>
        <w:t>enhance</w:t>
      </w:r>
      <w:r>
        <w:rPr>
          <w:strike w:val="0"/>
          <w:color w:val="C00000"/>
          <w:spacing w:val="-6"/>
        </w:rPr>
        <w:t> </w:t>
      </w:r>
      <w:r>
        <w:rPr>
          <w:strike w:val="0"/>
          <w:color w:val="C00000"/>
          <w:spacing w:val="-5"/>
        </w:rPr>
        <w:t>the</w:t>
      </w:r>
    </w:p>
    <w:p>
      <w:pPr>
        <w:pStyle w:val="BodyText"/>
        <w:spacing w:before="10"/>
        <w:rPr>
          <w:sz w:val="11"/>
        </w:rPr>
      </w:pPr>
    </w:p>
    <w:p>
      <w:pPr>
        <w:pStyle w:val="BodyText"/>
        <w:spacing w:line="491" w:lineRule="auto" w:before="92"/>
        <w:ind w:left="366" w:right="2664"/>
      </w:pPr>
      <w:r>
        <w:rPr>
          <w:color w:val="C00000"/>
        </w:rPr>
        <w:t>mission of the University and pursuant to policies and procedures approved by the University Board</w:t>
      </w:r>
      <w:r>
        <w:rPr>
          <w:color w:val="C00000"/>
          <w:spacing w:val="-2"/>
        </w:rPr>
        <w:t> </w:t>
      </w:r>
      <w:r>
        <w:rPr>
          <w:color w:val="C00000"/>
        </w:rPr>
        <w:t>of</w:t>
      </w:r>
      <w:r>
        <w:rPr>
          <w:color w:val="C00000"/>
          <w:spacing w:val="-3"/>
        </w:rPr>
        <w:t> </w:t>
      </w:r>
      <w:r>
        <w:rPr>
          <w:color w:val="C00000"/>
        </w:rPr>
        <w:t>Trustees.</w:t>
      </w:r>
      <w:r>
        <w:rPr>
          <w:color w:val="C00000"/>
          <w:spacing w:val="-2"/>
        </w:rPr>
        <w:t> </w:t>
      </w:r>
      <w:r>
        <w:rPr>
          <w:color w:val="C00000"/>
        </w:rPr>
        <w:t>The</w:t>
      </w:r>
      <w:r>
        <w:rPr>
          <w:color w:val="C00000"/>
          <w:spacing w:val="-3"/>
        </w:rPr>
        <w:t> </w:t>
      </w:r>
      <w:r>
        <w:rPr>
          <w:color w:val="C00000"/>
        </w:rPr>
        <w:t>total</w:t>
      </w:r>
      <w:r>
        <w:rPr>
          <w:color w:val="C00000"/>
          <w:spacing w:val="-3"/>
        </w:rPr>
        <w:t> </w:t>
      </w:r>
      <w:r>
        <w:rPr>
          <w:color w:val="C00000"/>
        </w:rPr>
        <w:t>number</w:t>
      </w:r>
      <w:r>
        <w:rPr>
          <w:color w:val="C00000"/>
          <w:spacing w:val="-3"/>
        </w:rPr>
        <w:t> </w:t>
      </w:r>
      <w:r>
        <w:rPr>
          <w:color w:val="C00000"/>
        </w:rPr>
        <w:t>and</w:t>
      </w:r>
      <w:r>
        <w:rPr>
          <w:color w:val="C00000"/>
          <w:spacing w:val="-2"/>
        </w:rPr>
        <w:t> </w:t>
      </w:r>
      <w:r>
        <w:rPr>
          <w:color w:val="C00000"/>
        </w:rPr>
        <w:t>value</w:t>
      </w:r>
      <w:r>
        <w:rPr>
          <w:color w:val="C00000"/>
          <w:spacing w:val="-5"/>
        </w:rPr>
        <w:t> </w:t>
      </w:r>
      <w:r>
        <w:rPr>
          <w:color w:val="C00000"/>
        </w:rPr>
        <w:t>of</w:t>
      </w:r>
      <w:r>
        <w:rPr>
          <w:color w:val="C00000"/>
          <w:spacing w:val="-3"/>
        </w:rPr>
        <w:t> </w:t>
      </w:r>
      <w:r>
        <w:rPr>
          <w:color w:val="C00000"/>
        </w:rPr>
        <w:t>all</w:t>
      </w:r>
      <w:r>
        <w:rPr>
          <w:color w:val="C00000"/>
          <w:spacing w:val="-3"/>
        </w:rPr>
        <w:t> </w:t>
      </w:r>
      <w:r>
        <w:rPr>
          <w:color w:val="C00000"/>
        </w:rPr>
        <w:t>fee</w:t>
      </w:r>
      <w:r>
        <w:rPr>
          <w:color w:val="C00000"/>
          <w:spacing w:val="-3"/>
        </w:rPr>
        <w:t> </w:t>
      </w:r>
      <w:r>
        <w:rPr>
          <w:color w:val="C00000"/>
        </w:rPr>
        <w:t>waivers</w:t>
      </w:r>
      <w:r>
        <w:rPr>
          <w:color w:val="C00000"/>
          <w:spacing w:val="-2"/>
        </w:rPr>
        <w:t> </w:t>
      </w:r>
      <w:r>
        <w:rPr>
          <w:color w:val="C00000"/>
        </w:rPr>
        <w:t>granted</w:t>
      </w:r>
      <w:r>
        <w:rPr>
          <w:color w:val="C00000"/>
          <w:spacing w:val="-2"/>
        </w:rPr>
        <w:t> </w:t>
      </w:r>
      <w:r>
        <w:rPr>
          <w:color w:val="C00000"/>
        </w:rPr>
        <w:t>for</w:t>
      </w:r>
      <w:r>
        <w:rPr>
          <w:color w:val="C00000"/>
          <w:spacing w:val="-3"/>
        </w:rPr>
        <w:t> </w:t>
      </w:r>
      <w:r>
        <w:rPr>
          <w:color w:val="C00000"/>
        </w:rPr>
        <w:t>any</w:t>
      </w:r>
      <w:r>
        <w:rPr>
          <w:color w:val="C00000"/>
          <w:spacing w:val="-3"/>
        </w:rPr>
        <w:t> </w:t>
      </w:r>
      <w:r>
        <w:rPr>
          <w:color w:val="C00000"/>
        </w:rPr>
        <w:t>fiscal</w:t>
      </w:r>
      <w:r>
        <w:rPr>
          <w:color w:val="C00000"/>
          <w:spacing w:val="-3"/>
        </w:rPr>
        <w:t> </w:t>
      </w:r>
      <w:r>
        <w:rPr>
          <w:color w:val="C00000"/>
        </w:rPr>
        <w:t>year</w:t>
      </w:r>
      <w:r>
        <w:rPr>
          <w:color w:val="C00000"/>
          <w:spacing w:val="-3"/>
        </w:rPr>
        <w:t> </w:t>
      </w:r>
      <w:r>
        <w:rPr>
          <w:color w:val="C00000"/>
        </w:rPr>
        <w:t>shall not exceed the allocation approved annually by the Board.</w:t>
      </w:r>
    </w:p>
    <w:p>
      <w:pPr>
        <w:pStyle w:val="ListParagraph"/>
        <w:numPr>
          <w:ilvl w:val="0"/>
          <w:numId w:val="7"/>
        </w:numPr>
        <w:tabs>
          <w:tab w:pos="1530" w:val="left" w:leader="none"/>
          <w:tab w:pos="1531" w:val="left" w:leader="none"/>
        </w:tabs>
        <w:spacing w:line="491" w:lineRule="auto" w:before="0" w:after="0"/>
        <w:ind w:left="366" w:right="2901" w:firstLine="580"/>
        <w:jc w:val="left"/>
        <w:rPr>
          <w:sz w:val="19"/>
        </w:rPr>
      </w:pPr>
      <w:r>
        <w:rPr>
          <w:sz w:val="19"/>
        </w:rPr>
        <w:t>The total annual dollars granted shall not exceed the total fee waiver dollars approved</w:t>
      </w:r>
      <w:r>
        <w:rPr>
          <w:spacing w:val="-4"/>
          <w:sz w:val="19"/>
        </w:rPr>
        <w:t> </w:t>
      </w:r>
      <w:r>
        <w:rPr>
          <w:sz w:val="19"/>
        </w:rPr>
        <w:t>for</w:t>
      </w:r>
      <w:r>
        <w:rPr>
          <w:spacing w:val="-4"/>
          <w:sz w:val="19"/>
        </w:rPr>
        <w:t> </w:t>
      </w:r>
      <w:r>
        <w:rPr>
          <w:sz w:val="19"/>
        </w:rPr>
        <w:t>the</w:t>
      </w:r>
      <w:r>
        <w:rPr>
          <w:spacing w:val="-3"/>
          <w:sz w:val="19"/>
        </w:rPr>
        <w:t> </w:t>
      </w:r>
      <w:r>
        <w:rPr>
          <w:sz w:val="19"/>
        </w:rPr>
        <w:t>University</w:t>
      </w:r>
      <w:r>
        <w:rPr>
          <w:spacing w:val="-2"/>
          <w:sz w:val="19"/>
        </w:rPr>
        <w:t> </w:t>
      </w:r>
      <w:r>
        <w:rPr>
          <w:sz w:val="19"/>
        </w:rPr>
        <w:t>by</w:t>
      </w:r>
      <w:r>
        <w:rPr>
          <w:spacing w:val="-2"/>
          <w:sz w:val="19"/>
        </w:rPr>
        <w:t> </w:t>
      </w:r>
      <w:r>
        <w:rPr>
          <w:sz w:val="19"/>
        </w:rPr>
        <w:t>the</w:t>
      </w:r>
      <w:r>
        <w:rPr>
          <w:spacing w:val="-3"/>
          <w:sz w:val="19"/>
        </w:rPr>
        <w:t> </w:t>
      </w:r>
      <w:r>
        <w:rPr>
          <w:sz w:val="19"/>
        </w:rPr>
        <w:t>University</w:t>
      </w:r>
      <w:r>
        <w:rPr>
          <w:spacing w:val="-4"/>
          <w:sz w:val="19"/>
        </w:rPr>
        <w:t> </w:t>
      </w:r>
      <w:r>
        <w:rPr>
          <w:sz w:val="19"/>
        </w:rPr>
        <w:t>of</w:t>
      </w:r>
      <w:r>
        <w:rPr>
          <w:spacing w:val="-4"/>
          <w:sz w:val="19"/>
        </w:rPr>
        <w:t> </w:t>
      </w:r>
      <w:r>
        <w:rPr>
          <w:sz w:val="19"/>
        </w:rPr>
        <w:t>North</w:t>
      </w:r>
      <w:r>
        <w:rPr>
          <w:spacing w:val="-2"/>
          <w:sz w:val="19"/>
        </w:rPr>
        <w:t> </w:t>
      </w:r>
      <w:r>
        <w:rPr>
          <w:sz w:val="19"/>
        </w:rPr>
        <w:t>Florida</w:t>
      </w:r>
      <w:r>
        <w:rPr>
          <w:spacing w:val="-6"/>
          <w:sz w:val="19"/>
        </w:rPr>
        <w:t> </w:t>
      </w:r>
      <w:r>
        <w:rPr>
          <w:sz w:val="19"/>
        </w:rPr>
        <w:t>Board</w:t>
      </w:r>
      <w:r>
        <w:rPr>
          <w:spacing w:val="-2"/>
          <w:sz w:val="19"/>
        </w:rPr>
        <w:t> </w:t>
      </w:r>
      <w:r>
        <w:rPr>
          <w:sz w:val="19"/>
        </w:rPr>
        <w:t>of</w:t>
      </w:r>
      <w:r>
        <w:rPr>
          <w:spacing w:val="-4"/>
          <w:sz w:val="19"/>
        </w:rPr>
        <w:t> </w:t>
      </w:r>
      <w:r>
        <w:rPr>
          <w:sz w:val="19"/>
        </w:rPr>
        <w:t>Trustees</w:t>
      </w:r>
      <w:r>
        <w:rPr>
          <w:spacing w:val="-2"/>
          <w:sz w:val="19"/>
        </w:rPr>
        <w:t> </w:t>
      </w:r>
      <w:r>
        <w:rPr>
          <w:sz w:val="19"/>
        </w:rPr>
        <w:t>in</w:t>
      </w:r>
      <w:r>
        <w:rPr>
          <w:spacing w:val="-4"/>
          <w:sz w:val="19"/>
        </w:rPr>
        <w:t> </w:t>
      </w:r>
      <w:r>
        <w:rPr>
          <w:sz w:val="19"/>
        </w:rPr>
        <w:t>its</w:t>
      </w:r>
      <w:r>
        <w:rPr>
          <w:spacing w:val="-2"/>
          <w:sz w:val="19"/>
        </w:rPr>
        <w:t> </w:t>
      </w:r>
      <w:r>
        <w:rPr>
          <w:sz w:val="19"/>
        </w:rPr>
        <w:t>annual </w:t>
      </w:r>
      <w:r>
        <w:rPr>
          <w:spacing w:val="-2"/>
          <w:sz w:val="19"/>
        </w:rPr>
        <w:t>allocation.</w:t>
      </w:r>
    </w:p>
    <w:p>
      <w:pPr>
        <w:spacing w:line="242" w:lineRule="auto" w:before="0"/>
        <w:ind w:left="366" w:right="2869" w:firstLine="0"/>
        <w:jc w:val="left"/>
        <w:rPr>
          <w:i/>
          <w:sz w:val="19"/>
        </w:rPr>
      </w:pPr>
      <w:r>
        <w:rPr>
          <w:i/>
          <w:sz w:val="19"/>
        </w:rPr>
        <w:t>Specific Authority 1001.74(4), (11) FS. Law Implemented 1001.74(11) FS. General</w:t>
      </w:r>
      <w:r>
        <w:rPr>
          <w:i/>
          <w:sz w:val="19"/>
        </w:rPr>
        <w:t> Appropriations</w:t>
      </w:r>
      <w:r>
        <w:rPr>
          <w:i/>
          <w:spacing w:val="-3"/>
          <w:sz w:val="19"/>
        </w:rPr>
        <w:t> </w:t>
      </w:r>
      <w:r>
        <w:rPr>
          <w:i/>
          <w:sz w:val="19"/>
        </w:rPr>
        <w:t>Act,</w:t>
      </w:r>
      <w:r>
        <w:rPr>
          <w:i/>
          <w:spacing w:val="-6"/>
          <w:sz w:val="19"/>
        </w:rPr>
        <w:t> </w:t>
      </w:r>
      <w:r>
        <w:rPr>
          <w:i/>
          <w:sz w:val="19"/>
        </w:rPr>
        <w:t>2002,</w:t>
      </w:r>
      <w:r>
        <w:rPr>
          <w:i/>
          <w:spacing w:val="-3"/>
          <w:sz w:val="19"/>
        </w:rPr>
        <w:t> </w:t>
      </w:r>
      <w:r>
        <w:rPr>
          <w:i/>
          <w:sz w:val="19"/>
        </w:rPr>
        <w:t>Conference</w:t>
      </w:r>
      <w:r>
        <w:rPr>
          <w:i/>
          <w:spacing w:val="-4"/>
          <w:sz w:val="19"/>
        </w:rPr>
        <w:t> </w:t>
      </w:r>
      <w:r>
        <w:rPr>
          <w:i/>
          <w:sz w:val="19"/>
        </w:rPr>
        <w:t>Report</w:t>
      </w:r>
      <w:r>
        <w:rPr>
          <w:i/>
          <w:spacing w:val="-4"/>
          <w:sz w:val="19"/>
        </w:rPr>
        <w:t> </w:t>
      </w:r>
      <w:r>
        <w:rPr>
          <w:i/>
          <w:sz w:val="19"/>
        </w:rPr>
        <w:t>on</w:t>
      </w:r>
      <w:r>
        <w:rPr>
          <w:i/>
          <w:spacing w:val="-3"/>
          <w:sz w:val="19"/>
        </w:rPr>
        <w:t> </w:t>
      </w:r>
      <w:r>
        <w:rPr>
          <w:i/>
          <w:sz w:val="19"/>
        </w:rPr>
        <w:t>HB</w:t>
      </w:r>
      <w:r>
        <w:rPr>
          <w:i/>
          <w:spacing w:val="-5"/>
          <w:sz w:val="19"/>
        </w:rPr>
        <w:t> </w:t>
      </w:r>
      <w:r>
        <w:rPr>
          <w:i/>
          <w:sz w:val="19"/>
        </w:rPr>
        <w:t>27E.</w:t>
      </w:r>
      <w:r>
        <w:rPr>
          <w:i/>
          <w:spacing w:val="-3"/>
          <w:sz w:val="19"/>
        </w:rPr>
        <w:t> </w:t>
      </w:r>
      <w:r>
        <w:rPr>
          <w:i/>
          <w:sz w:val="19"/>
        </w:rPr>
        <w:t>History</w:t>
      </w:r>
      <w:r>
        <w:rPr>
          <w:i/>
          <w:spacing w:val="-4"/>
          <w:sz w:val="19"/>
        </w:rPr>
        <w:t> </w:t>
      </w:r>
      <w:r>
        <w:rPr>
          <w:i/>
          <w:sz w:val="19"/>
        </w:rPr>
        <w:t>–</w:t>
      </w:r>
      <w:r>
        <w:rPr>
          <w:i/>
          <w:spacing w:val="-2"/>
          <w:sz w:val="19"/>
        </w:rPr>
        <w:t> </w:t>
      </w:r>
      <w:r>
        <w:rPr>
          <w:i/>
          <w:sz w:val="19"/>
        </w:rPr>
        <w:t>New</w:t>
      </w:r>
      <w:r>
        <w:rPr>
          <w:i/>
          <w:spacing w:val="-3"/>
          <w:sz w:val="19"/>
        </w:rPr>
        <w:t> </w:t>
      </w:r>
      <w:r>
        <w:rPr>
          <w:i/>
          <w:sz w:val="19"/>
        </w:rPr>
        <w:t>5-2-04</w:t>
      </w:r>
      <w:r>
        <w:rPr>
          <w:i/>
          <w:color w:val="C00000"/>
          <w:sz w:val="19"/>
        </w:rPr>
        <w:t>,</w:t>
      </w:r>
      <w:r>
        <w:rPr>
          <w:i/>
          <w:color w:val="C00000"/>
          <w:spacing w:val="-3"/>
          <w:sz w:val="19"/>
        </w:rPr>
        <w:t> </w:t>
      </w:r>
      <w:r>
        <w:rPr>
          <w:i/>
          <w:color w:val="C00000"/>
          <w:sz w:val="19"/>
        </w:rPr>
        <w:t>Amended..</w:t>
      </w:r>
    </w:p>
    <w:sectPr>
      <w:pgSz w:w="12240" w:h="15840"/>
      <w:pgMar w:top="1420" w:bottom="280" w:left="8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530" w:hanging="584"/>
        <w:jc w:val="left"/>
      </w:pPr>
      <w:rPr>
        <w:rFonts w:hint="default"/>
        <w:spacing w:val="-1"/>
        <w:w w:val="99"/>
        <w:lang w:val="en-US" w:eastAsia="en-US" w:bidi="ar-SA"/>
      </w:rPr>
    </w:lvl>
    <w:lvl w:ilvl="1">
      <w:start w:val="0"/>
      <w:numFmt w:val="bullet"/>
      <w:lvlText w:val="•"/>
      <w:lvlJc w:val="left"/>
      <w:pPr>
        <w:ind w:left="2428" w:hanging="584"/>
      </w:pPr>
      <w:rPr>
        <w:rFonts w:hint="default"/>
        <w:lang w:val="en-US" w:eastAsia="en-US" w:bidi="ar-SA"/>
      </w:rPr>
    </w:lvl>
    <w:lvl w:ilvl="2">
      <w:start w:val="0"/>
      <w:numFmt w:val="bullet"/>
      <w:lvlText w:val="•"/>
      <w:lvlJc w:val="left"/>
      <w:pPr>
        <w:ind w:left="3316" w:hanging="584"/>
      </w:pPr>
      <w:rPr>
        <w:rFonts w:hint="default"/>
        <w:lang w:val="en-US" w:eastAsia="en-US" w:bidi="ar-SA"/>
      </w:rPr>
    </w:lvl>
    <w:lvl w:ilvl="3">
      <w:start w:val="0"/>
      <w:numFmt w:val="bullet"/>
      <w:lvlText w:val="•"/>
      <w:lvlJc w:val="left"/>
      <w:pPr>
        <w:ind w:left="4204" w:hanging="584"/>
      </w:pPr>
      <w:rPr>
        <w:rFonts w:hint="default"/>
        <w:lang w:val="en-US" w:eastAsia="en-US" w:bidi="ar-SA"/>
      </w:rPr>
    </w:lvl>
    <w:lvl w:ilvl="4">
      <w:start w:val="0"/>
      <w:numFmt w:val="bullet"/>
      <w:lvlText w:val="•"/>
      <w:lvlJc w:val="left"/>
      <w:pPr>
        <w:ind w:left="5092" w:hanging="584"/>
      </w:pPr>
      <w:rPr>
        <w:rFonts w:hint="default"/>
        <w:lang w:val="en-US" w:eastAsia="en-US" w:bidi="ar-SA"/>
      </w:rPr>
    </w:lvl>
    <w:lvl w:ilvl="5">
      <w:start w:val="0"/>
      <w:numFmt w:val="bullet"/>
      <w:lvlText w:val="•"/>
      <w:lvlJc w:val="left"/>
      <w:pPr>
        <w:ind w:left="5980" w:hanging="584"/>
      </w:pPr>
      <w:rPr>
        <w:rFonts w:hint="default"/>
        <w:lang w:val="en-US" w:eastAsia="en-US" w:bidi="ar-SA"/>
      </w:rPr>
    </w:lvl>
    <w:lvl w:ilvl="6">
      <w:start w:val="0"/>
      <w:numFmt w:val="bullet"/>
      <w:lvlText w:val="•"/>
      <w:lvlJc w:val="left"/>
      <w:pPr>
        <w:ind w:left="6868" w:hanging="584"/>
      </w:pPr>
      <w:rPr>
        <w:rFonts w:hint="default"/>
        <w:lang w:val="en-US" w:eastAsia="en-US" w:bidi="ar-SA"/>
      </w:rPr>
    </w:lvl>
    <w:lvl w:ilvl="7">
      <w:start w:val="0"/>
      <w:numFmt w:val="bullet"/>
      <w:lvlText w:val="•"/>
      <w:lvlJc w:val="left"/>
      <w:pPr>
        <w:ind w:left="7756" w:hanging="584"/>
      </w:pPr>
      <w:rPr>
        <w:rFonts w:hint="default"/>
        <w:lang w:val="en-US" w:eastAsia="en-US" w:bidi="ar-SA"/>
      </w:rPr>
    </w:lvl>
    <w:lvl w:ilvl="8">
      <w:start w:val="0"/>
      <w:numFmt w:val="bullet"/>
      <w:lvlText w:val="•"/>
      <w:lvlJc w:val="left"/>
      <w:pPr>
        <w:ind w:left="8644" w:hanging="584"/>
      </w:pPr>
      <w:rPr>
        <w:rFonts w:hint="default"/>
        <w:lang w:val="en-US" w:eastAsia="en-US" w:bidi="ar-SA"/>
      </w:rPr>
    </w:lvl>
  </w:abstractNum>
  <w:abstractNum w:abstractNumId="5">
    <w:multiLevelType w:val="hybridMultilevel"/>
    <w:lvl w:ilvl="0">
      <w:start w:val="1"/>
      <w:numFmt w:val="decimal"/>
      <w:lvlText w:val="(%1)"/>
      <w:lvlJc w:val="left"/>
      <w:pPr>
        <w:ind w:left="365" w:hanging="584"/>
        <w:jc w:val="left"/>
      </w:pPr>
      <w:rPr>
        <w:rFonts w:hint="default" w:ascii="Times New Roman" w:hAnsi="Times New Roman" w:eastAsia="Times New Roman" w:cs="Times New Roman"/>
        <w:b w:val="0"/>
        <w:bCs w:val="0"/>
        <w:i w:val="0"/>
        <w:iCs w:val="0"/>
        <w:spacing w:val="-1"/>
        <w:w w:val="99"/>
        <w:sz w:val="19"/>
        <w:szCs w:val="19"/>
        <w:lang w:val="en-US" w:eastAsia="en-US" w:bidi="ar-SA"/>
      </w:rPr>
    </w:lvl>
    <w:lvl w:ilvl="1">
      <w:start w:val="1"/>
      <w:numFmt w:val="lowerLetter"/>
      <w:lvlText w:val="(%2)"/>
      <w:lvlJc w:val="left"/>
      <w:pPr>
        <w:ind w:left="365" w:hanging="584"/>
        <w:jc w:val="left"/>
      </w:pPr>
      <w:rPr>
        <w:rFonts w:hint="default" w:ascii="Times New Roman" w:hAnsi="Times New Roman" w:eastAsia="Times New Roman" w:cs="Times New Roman"/>
        <w:b w:val="0"/>
        <w:bCs w:val="0"/>
        <w:i w:val="0"/>
        <w:iCs w:val="0"/>
        <w:spacing w:val="-1"/>
        <w:w w:val="99"/>
        <w:sz w:val="19"/>
        <w:szCs w:val="19"/>
        <w:lang w:val="en-US" w:eastAsia="en-US" w:bidi="ar-SA"/>
      </w:rPr>
    </w:lvl>
    <w:lvl w:ilvl="2">
      <w:start w:val="0"/>
      <w:numFmt w:val="bullet"/>
      <w:lvlText w:val="•"/>
      <w:lvlJc w:val="left"/>
      <w:pPr>
        <w:ind w:left="2372" w:hanging="584"/>
      </w:pPr>
      <w:rPr>
        <w:rFonts w:hint="default"/>
        <w:lang w:val="en-US" w:eastAsia="en-US" w:bidi="ar-SA"/>
      </w:rPr>
    </w:lvl>
    <w:lvl w:ilvl="3">
      <w:start w:val="0"/>
      <w:numFmt w:val="bullet"/>
      <w:lvlText w:val="•"/>
      <w:lvlJc w:val="left"/>
      <w:pPr>
        <w:ind w:left="3378" w:hanging="584"/>
      </w:pPr>
      <w:rPr>
        <w:rFonts w:hint="default"/>
        <w:lang w:val="en-US" w:eastAsia="en-US" w:bidi="ar-SA"/>
      </w:rPr>
    </w:lvl>
    <w:lvl w:ilvl="4">
      <w:start w:val="0"/>
      <w:numFmt w:val="bullet"/>
      <w:lvlText w:val="•"/>
      <w:lvlJc w:val="left"/>
      <w:pPr>
        <w:ind w:left="4384" w:hanging="584"/>
      </w:pPr>
      <w:rPr>
        <w:rFonts w:hint="default"/>
        <w:lang w:val="en-US" w:eastAsia="en-US" w:bidi="ar-SA"/>
      </w:rPr>
    </w:lvl>
    <w:lvl w:ilvl="5">
      <w:start w:val="0"/>
      <w:numFmt w:val="bullet"/>
      <w:lvlText w:val="•"/>
      <w:lvlJc w:val="left"/>
      <w:pPr>
        <w:ind w:left="5390" w:hanging="584"/>
      </w:pPr>
      <w:rPr>
        <w:rFonts w:hint="default"/>
        <w:lang w:val="en-US" w:eastAsia="en-US" w:bidi="ar-SA"/>
      </w:rPr>
    </w:lvl>
    <w:lvl w:ilvl="6">
      <w:start w:val="0"/>
      <w:numFmt w:val="bullet"/>
      <w:lvlText w:val="•"/>
      <w:lvlJc w:val="left"/>
      <w:pPr>
        <w:ind w:left="6396" w:hanging="584"/>
      </w:pPr>
      <w:rPr>
        <w:rFonts w:hint="default"/>
        <w:lang w:val="en-US" w:eastAsia="en-US" w:bidi="ar-SA"/>
      </w:rPr>
    </w:lvl>
    <w:lvl w:ilvl="7">
      <w:start w:val="0"/>
      <w:numFmt w:val="bullet"/>
      <w:lvlText w:val="•"/>
      <w:lvlJc w:val="left"/>
      <w:pPr>
        <w:ind w:left="7402" w:hanging="584"/>
      </w:pPr>
      <w:rPr>
        <w:rFonts w:hint="default"/>
        <w:lang w:val="en-US" w:eastAsia="en-US" w:bidi="ar-SA"/>
      </w:rPr>
    </w:lvl>
    <w:lvl w:ilvl="8">
      <w:start w:val="0"/>
      <w:numFmt w:val="bullet"/>
      <w:lvlText w:val="•"/>
      <w:lvlJc w:val="left"/>
      <w:pPr>
        <w:ind w:left="8408" w:hanging="584"/>
      </w:pPr>
      <w:rPr>
        <w:rFonts w:hint="default"/>
        <w:lang w:val="en-US" w:eastAsia="en-US" w:bidi="ar-SA"/>
      </w:rPr>
    </w:lvl>
  </w:abstractNum>
  <w:abstractNum w:abstractNumId="4">
    <w:multiLevelType w:val="hybridMultilevel"/>
    <w:lvl w:ilvl="0">
      <w:start w:val="1"/>
      <w:numFmt w:val="decimal"/>
      <w:lvlText w:val="(%1)"/>
      <w:lvlJc w:val="left"/>
      <w:pPr>
        <w:ind w:left="366" w:hanging="584"/>
        <w:jc w:val="left"/>
      </w:pPr>
      <w:rPr>
        <w:rFonts w:hint="default" w:ascii="Times New Roman" w:hAnsi="Times New Roman" w:eastAsia="Times New Roman" w:cs="Times New Roman"/>
        <w:b w:val="0"/>
        <w:bCs w:val="0"/>
        <w:i w:val="0"/>
        <w:iCs w:val="0"/>
        <w:spacing w:val="-1"/>
        <w:w w:val="99"/>
        <w:sz w:val="19"/>
        <w:szCs w:val="19"/>
        <w:lang w:val="en-US" w:eastAsia="en-US" w:bidi="ar-SA"/>
      </w:rPr>
    </w:lvl>
    <w:lvl w:ilvl="1">
      <w:start w:val="1"/>
      <w:numFmt w:val="lowerLetter"/>
      <w:lvlText w:val="(%2)"/>
      <w:lvlJc w:val="left"/>
      <w:pPr>
        <w:ind w:left="366" w:hanging="584"/>
        <w:jc w:val="left"/>
      </w:pPr>
      <w:rPr>
        <w:rFonts w:hint="default" w:ascii="Times New Roman" w:hAnsi="Times New Roman" w:eastAsia="Times New Roman" w:cs="Times New Roman"/>
        <w:b w:val="0"/>
        <w:bCs w:val="0"/>
        <w:i w:val="0"/>
        <w:iCs w:val="0"/>
        <w:spacing w:val="-1"/>
        <w:w w:val="99"/>
        <w:sz w:val="19"/>
        <w:szCs w:val="19"/>
        <w:lang w:val="en-US" w:eastAsia="en-US" w:bidi="ar-SA"/>
      </w:rPr>
    </w:lvl>
    <w:lvl w:ilvl="2">
      <w:start w:val="0"/>
      <w:numFmt w:val="bullet"/>
      <w:lvlText w:val="•"/>
      <w:lvlJc w:val="left"/>
      <w:pPr>
        <w:ind w:left="2372" w:hanging="584"/>
      </w:pPr>
      <w:rPr>
        <w:rFonts w:hint="default"/>
        <w:lang w:val="en-US" w:eastAsia="en-US" w:bidi="ar-SA"/>
      </w:rPr>
    </w:lvl>
    <w:lvl w:ilvl="3">
      <w:start w:val="0"/>
      <w:numFmt w:val="bullet"/>
      <w:lvlText w:val="•"/>
      <w:lvlJc w:val="left"/>
      <w:pPr>
        <w:ind w:left="3378" w:hanging="584"/>
      </w:pPr>
      <w:rPr>
        <w:rFonts w:hint="default"/>
        <w:lang w:val="en-US" w:eastAsia="en-US" w:bidi="ar-SA"/>
      </w:rPr>
    </w:lvl>
    <w:lvl w:ilvl="4">
      <w:start w:val="0"/>
      <w:numFmt w:val="bullet"/>
      <w:lvlText w:val="•"/>
      <w:lvlJc w:val="left"/>
      <w:pPr>
        <w:ind w:left="4384" w:hanging="584"/>
      </w:pPr>
      <w:rPr>
        <w:rFonts w:hint="default"/>
        <w:lang w:val="en-US" w:eastAsia="en-US" w:bidi="ar-SA"/>
      </w:rPr>
    </w:lvl>
    <w:lvl w:ilvl="5">
      <w:start w:val="0"/>
      <w:numFmt w:val="bullet"/>
      <w:lvlText w:val="•"/>
      <w:lvlJc w:val="left"/>
      <w:pPr>
        <w:ind w:left="5390" w:hanging="584"/>
      </w:pPr>
      <w:rPr>
        <w:rFonts w:hint="default"/>
        <w:lang w:val="en-US" w:eastAsia="en-US" w:bidi="ar-SA"/>
      </w:rPr>
    </w:lvl>
    <w:lvl w:ilvl="6">
      <w:start w:val="0"/>
      <w:numFmt w:val="bullet"/>
      <w:lvlText w:val="•"/>
      <w:lvlJc w:val="left"/>
      <w:pPr>
        <w:ind w:left="6396" w:hanging="584"/>
      </w:pPr>
      <w:rPr>
        <w:rFonts w:hint="default"/>
        <w:lang w:val="en-US" w:eastAsia="en-US" w:bidi="ar-SA"/>
      </w:rPr>
    </w:lvl>
    <w:lvl w:ilvl="7">
      <w:start w:val="0"/>
      <w:numFmt w:val="bullet"/>
      <w:lvlText w:val="•"/>
      <w:lvlJc w:val="left"/>
      <w:pPr>
        <w:ind w:left="7402" w:hanging="584"/>
      </w:pPr>
      <w:rPr>
        <w:rFonts w:hint="default"/>
        <w:lang w:val="en-US" w:eastAsia="en-US" w:bidi="ar-SA"/>
      </w:rPr>
    </w:lvl>
    <w:lvl w:ilvl="8">
      <w:start w:val="0"/>
      <w:numFmt w:val="bullet"/>
      <w:lvlText w:val="•"/>
      <w:lvlJc w:val="left"/>
      <w:pPr>
        <w:ind w:left="8408" w:hanging="584"/>
      </w:pPr>
      <w:rPr>
        <w:rFonts w:hint="default"/>
        <w:lang w:val="en-US" w:eastAsia="en-US" w:bidi="ar-SA"/>
      </w:rPr>
    </w:lvl>
  </w:abstractNum>
  <w:abstractNum w:abstractNumId="3">
    <w:multiLevelType w:val="hybridMultilevel"/>
    <w:lvl w:ilvl="0">
      <w:start w:val="1"/>
      <w:numFmt w:val="decimal"/>
      <w:lvlText w:val="(%1)"/>
      <w:lvlJc w:val="left"/>
      <w:pPr>
        <w:ind w:left="366" w:hanging="279"/>
        <w:jc w:val="left"/>
      </w:pPr>
      <w:rPr>
        <w:rFonts w:hint="default" w:ascii="Times New Roman" w:hAnsi="Times New Roman" w:eastAsia="Times New Roman" w:cs="Times New Roman"/>
        <w:b w:val="0"/>
        <w:bCs w:val="0"/>
        <w:i w:val="0"/>
        <w:iCs w:val="0"/>
        <w:spacing w:val="-1"/>
        <w:w w:val="99"/>
        <w:sz w:val="19"/>
        <w:szCs w:val="19"/>
        <w:lang w:val="en-US" w:eastAsia="en-US" w:bidi="ar-SA"/>
      </w:rPr>
    </w:lvl>
    <w:lvl w:ilvl="1">
      <w:start w:val="1"/>
      <w:numFmt w:val="lowerLetter"/>
      <w:lvlText w:val="(%2)"/>
      <w:lvlJc w:val="left"/>
      <w:pPr>
        <w:ind w:left="1530" w:hanging="584"/>
        <w:jc w:val="left"/>
      </w:pPr>
      <w:rPr>
        <w:rFonts w:hint="default" w:ascii="Times New Roman" w:hAnsi="Times New Roman" w:eastAsia="Times New Roman" w:cs="Times New Roman"/>
        <w:b w:val="0"/>
        <w:bCs w:val="0"/>
        <w:i w:val="0"/>
        <w:iCs w:val="0"/>
        <w:spacing w:val="-1"/>
        <w:w w:val="99"/>
        <w:sz w:val="19"/>
        <w:szCs w:val="19"/>
        <w:lang w:val="en-US" w:eastAsia="en-US" w:bidi="ar-SA"/>
      </w:rPr>
    </w:lvl>
    <w:lvl w:ilvl="2">
      <w:start w:val="1"/>
      <w:numFmt w:val="decimal"/>
      <w:lvlText w:val="%3."/>
      <w:lvlJc w:val="left"/>
      <w:pPr>
        <w:ind w:left="1530" w:hanging="584"/>
        <w:jc w:val="left"/>
      </w:pPr>
      <w:rPr>
        <w:rFonts w:hint="default" w:ascii="Times New Roman" w:hAnsi="Times New Roman" w:eastAsia="Times New Roman" w:cs="Times New Roman"/>
        <w:b w:val="0"/>
        <w:bCs w:val="0"/>
        <w:i w:val="0"/>
        <w:iCs w:val="0"/>
        <w:spacing w:val="0"/>
        <w:w w:val="99"/>
        <w:sz w:val="19"/>
        <w:szCs w:val="19"/>
        <w:lang w:val="en-US" w:eastAsia="en-US" w:bidi="ar-SA"/>
      </w:rPr>
    </w:lvl>
    <w:lvl w:ilvl="3">
      <w:start w:val="0"/>
      <w:numFmt w:val="bullet"/>
      <w:lvlText w:val="•"/>
      <w:lvlJc w:val="left"/>
      <w:pPr>
        <w:ind w:left="3513" w:hanging="584"/>
      </w:pPr>
      <w:rPr>
        <w:rFonts w:hint="default"/>
        <w:lang w:val="en-US" w:eastAsia="en-US" w:bidi="ar-SA"/>
      </w:rPr>
    </w:lvl>
    <w:lvl w:ilvl="4">
      <w:start w:val="0"/>
      <w:numFmt w:val="bullet"/>
      <w:lvlText w:val="•"/>
      <w:lvlJc w:val="left"/>
      <w:pPr>
        <w:ind w:left="4500" w:hanging="584"/>
      </w:pPr>
      <w:rPr>
        <w:rFonts w:hint="default"/>
        <w:lang w:val="en-US" w:eastAsia="en-US" w:bidi="ar-SA"/>
      </w:rPr>
    </w:lvl>
    <w:lvl w:ilvl="5">
      <w:start w:val="0"/>
      <w:numFmt w:val="bullet"/>
      <w:lvlText w:val="•"/>
      <w:lvlJc w:val="left"/>
      <w:pPr>
        <w:ind w:left="5486" w:hanging="584"/>
      </w:pPr>
      <w:rPr>
        <w:rFonts w:hint="default"/>
        <w:lang w:val="en-US" w:eastAsia="en-US" w:bidi="ar-SA"/>
      </w:rPr>
    </w:lvl>
    <w:lvl w:ilvl="6">
      <w:start w:val="0"/>
      <w:numFmt w:val="bullet"/>
      <w:lvlText w:val="•"/>
      <w:lvlJc w:val="left"/>
      <w:pPr>
        <w:ind w:left="6473" w:hanging="584"/>
      </w:pPr>
      <w:rPr>
        <w:rFonts w:hint="default"/>
        <w:lang w:val="en-US" w:eastAsia="en-US" w:bidi="ar-SA"/>
      </w:rPr>
    </w:lvl>
    <w:lvl w:ilvl="7">
      <w:start w:val="0"/>
      <w:numFmt w:val="bullet"/>
      <w:lvlText w:val="•"/>
      <w:lvlJc w:val="left"/>
      <w:pPr>
        <w:ind w:left="7460" w:hanging="584"/>
      </w:pPr>
      <w:rPr>
        <w:rFonts w:hint="default"/>
        <w:lang w:val="en-US" w:eastAsia="en-US" w:bidi="ar-SA"/>
      </w:rPr>
    </w:lvl>
    <w:lvl w:ilvl="8">
      <w:start w:val="0"/>
      <w:numFmt w:val="bullet"/>
      <w:lvlText w:val="•"/>
      <w:lvlJc w:val="left"/>
      <w:pPr>
        <w:ind w:left="8446" w:hanging="584"/>
      </w:pPr>
      <w:rPr>
        <w:rFonts w:hint="default"/>
        <w:lang w:val="en-US" w:eastAsia="en-US" w:bidi="ar-SA"/>
      </w:rPr>
    </w:lvl>
  </w:abstractNum>
  <w:abstractNum w:abstractNumId="2">
    <w:multiLevelType w:val="hybridMultilevel"/>
    <w:lvl w:ilvl="0">
      <w:start w:val="1"/>
      <w:numFmt w:val="decimal"/>
      <w:lvlText w:val="(%1)"/>
      <w:lvlJc w:val="left"/>
      <w:pPr>
        <w:ind w:left="366" w:hanging="584"/>
        <w:jc w:val="left"/>
      </w:pPr>
      <w:rPr>
        <w:rFonts w:hint="default" w:ascii="Times New Roman" w:hAnsi="Times New Roman" w:eastAsia="Times New Roman" w:cs="Times New Roman"/>
        <w:b w:val="0"/>
        <w:bCs w:val="0"/>
        <w:i w:val="0"/>
        <w:iCs w:val="0"/>
        <w:spacing w:val="-1"/>
        <w:w w:val="99"/>
        <w:sz w:val="19"/>
        <w:szCs w:val="19"/>
        <w:lang w:val="en-US" w:eastAsia="en-US" w:bidi="ar-SA"/>
      </w:rPr>
    </w:lvl>
    <w:lvl w:ilvl="1">
      <w:start w:val="1"/>
      <w:numFmt w:val="lowerLetter"/>
      <w:lvlText w:val="(%2)"/>
      <w:lvlJc w:val="left"/>
      <w:pPr>
        <w:ind w:left="1530" w:hanging="584"/>
        <w:jc w:val="left"/>
      </w:pPr>
      <w:rPr>
        <w:rFonts w:hint="default" w:ascii="Times New Roman" w:hAnsi="Times New Roman" w:eastAsia="Times New Roman" w:cs="Times New Roman"/>
        <w:b w:val="0"/>
        <w:bCs w:val="0"/>
        <w:i w:val="0"/>
        <w:iCs w:val="0"/>
        <w:spacing w:val="-1"/>
        <w:w w:val="99"/>
        <w:sz w:val="19"/>
        <w:szCs w:val="19"/>
        <w:lang w:val="en-US" w:eastAsia="en-US" w:bidi="ar-SA"/>
      </w:rPr>
    </w:lvl>
    <w:lvl w:ilvl="2">
      <w:start w:val="0"/>
      <w:numFmt w:val="bullet"/>
      <w:lvlText w:val="•"/>
      <w:lvlJc w:val="left"/>
      <w:pPr>
        <w:ind w:left="2526" w:hanging="584"/>
      </w:pPr>
      <w:rPr>
        <w:rFonts w:hint="default"/>
        <w:lang w:val="en-US" w:eastAsia="en-US" w:bidi="ar-SA"/>
      </w:rPr>
    </w:lvl>
    <w:lvl w:ilvl="3">
      <w:start w:val="0"/>
      <w:numFmt w:val="bullet"/>
      <w:lvlText w:val="•"/>
      <w:lvlJc w:val="left"/>
      <w:pPr>
        <w:ind w:left="3513" w:hanging="584"/>
      </w:pPr>
      <w:rPr>
        <w:rFonts w:hint="default"/>
        <w:lang w:val="en-US" w:eastAsia="en-US" w:bidi="ar-SA"/>
      </w:rPr>
    </w:lvl>
    <w:lvl w:ilvl="4">
      <w:start w:val="0"/>
      <w:numFmt w:val="bullet"/>
      <w:lvlText w:val="•"/>
      <w:lvlJc w:val="left"/>
      <w:pPr>
        <w:ind w:left="4500" w:hanging="584"/>
      </w:pPr>
      <w:rPr>
        <w:rFonts w:hint="default"/>
        <w:lang w:val="en-US" w:eastAsia="en-US" w:bidi="ar-SA"/>
      </w:rPr>
    </w:lvl>
    <w:lvl w:ilvl="5">
      <w:start w:val="0"/>
      <w:numFmt w:val="bullet"/>
      <w:lvlText w:val="•"/>
      <w:lvlJc w:val="left"/>
      <w:pPr>
        <w:ind w:left="5486" w:hanging="584"/>
      </w:pPr>
      <w:rPr>
        <w:rFonts w:hint="default"/>
        <w:lang w:val="en-US" w:eastAsia="en-US" w:bidi="ar-SA"/>
      </w:rPr>
    </w:lvl>
    <w:lvl w:ilvl="6">
      <w:start w:val="0"/>
      <w:numFmt w:val="bullet"/>
      <w:lvlText w:val="•"/>
      <w:lvlJc w:val="left"/>
      <w:pPr>
        <w:ind w:left="6473" w:hanging="584"/>
      </w:pPr>
      <w:rPr>
        <w:rFonts w:hint="default"/>
        <w:lang w:val="en-US" w:eastAsia="en-US" w:bidi="ar-SA"/>
      </w:rPr>
    </w:lvl>
    <w:lvl w:ilvl="7">
      <w:start w:val="0"/>
      <w:numFmt w:val="bullet"/>
      <w:lvlText w:val="•"/>
      <w:lvlJc w:val="left"/>
      <w:pPr>
        <w:ind w:left="7460" w:hanging="584"/>
      </w:pPr>
      <w:rPr>
        <w:rFonts w:hint="default"/>
        <w:lang w:val="en-US" w:eastAsia="en-US" w:bidi="ar-SA"/>
      </w:rPr>
    </w:lvl>
    <w:lvl w:ilvl="8">
      <w:start w:val="0"/>
      <w:numFmt w:val="bullet"/>
      <w:lvlText w:val="•"/>
      <w:lvlJc w:val="left"/>
      <w:pPr>
        <w:ind w:left="8446" w:hanging="584"/>
      </w:pPr>
      <w:rPr>
        <w:rFonts w:hint="default"/>
        <w:lang w:val="en-US" w:eastAsia="en-US" w:bidi="ar-SA"/>
      </w:rPr>
    </w:lvl>
  </w:abstractNum>
  <w:abstractNum w:abstractNumId="1">
    <w:multiLevelType w:val="hybridMultilevel"/>
    <w:lvl w:ilvl="0">
      <w:start w:val="1"/>
      <w:numFmt w:val="decimal"/>
      <w:lvlText w:val="%1."/>
      <w:lvlJc w:val="left"/>
      <w:pPr>
        <w:ind w:left="1530" w:hanging="584"/>
        <w:jc w:val="left"/>
      </w:pPr>
      <w:rPr>
        <w:rFonts w:hint="default"/>
        <w:spacing w:val="0"/>
        <w:w w:val="99"/>
        <w:lang w:val="en-US" w:eastAsia="en-US" w:bidi="ar-SA"/>
      </w:rPr>
    </w:lvl>
    <w:lvl w:ilvl="1">
      <w:start w:val="0"/>
      <w:numFmt w:val="bullet"/>
      <w:lvlText w:val="•"/>
      <w:lvlJc w:val="left"/>
      <w:pPr>
        <w:ind w:left="2428" w:hanging="584"/>
      </w:pPr>
      <w:rPr>
        <w:rFonts w:hint="default"/>
        <w:lang w:val="en-US" w:eastAsia="en-US" w:bidi="ar-SA"/>
      </w:rPr>
    </w:lvl>
    <w:lvl w:ilvl="2">
      <w:start w:val="0"/>
      <w:numFmt w:val="bullet"/>
      <w:lvlText w:val="•"/>
      <w:lvlJc w:val="left"/>
      <w:pPr>
        <w:ind w:left="3316" w:hanging="584"/>
      </w:pPr>
      <w:rPr>
        <w:rFonts w:hint="default"/>
        <w:lang w:val="en-US" w:eastAsia="en-US" w:bidi="ar-SA"/>
      </w:rPr>
    </w:lvl>
    <w:lvl w:ilvl="3">
      <w:start w:val="0"/>
      <w:numFmt w:val="bullet"/>
      <w:lvlText w:val="•"/>
      <w:lvlJc w:val="left"/>
      <w:pPr>
        <w:ind w:left="4204" w:hanging="584"/>
      </w:pPr>
      <w:rPr>
        <w:rFonts w:hint="default"/>
        <w:lang w:val="en-US" w:eastAsia="en-US" w:bidi="ar-SA"/>
      </w:rPr>
    </w:lvl>
    <w:lvl w:ilvl="4">
      <w:start w:val="0"/>
      <w:numFmt w:val="bullet"/>
      <w:lvlText w:val="•"/>
      <w:lvlJc w:val="left"/>
      <w:pPr>
        <w:ind w:left="5092" w:hanging="584"/>
      </w:pPr>
      <w:rPr>
        <w:rFonts w:hint="default"/>
        <w:lang w:val="en-US" w:eastAsia="en-US" w:bidi="ar-SA"/>
      </w:rPr>
    </w:lvl>
    <w:lvl w:ilvl="5">
      <w:start w:val="0"/>
      <w:numFmt w:val="bullet"/>
      <w:lvlText w:val="•"/>
      <w:lvlJc w:val="left"/>
      <w:pPr>
        <w:ind w:left="5980" w:hanging="584"/>
      </w:pPr>
      <w:rPr>
        <w:rFonts w:hint="default"/>
        <w:lang w:val="en-US" w:eastAsia="en-US" w:bidi="ar-SA"/>
      </w:rPr>
    </w:lvl>
    <w:lvl w:ilvl="6">
      <w:start w:val="0"/>
      <w:numFmt w:val="bullet"/>
      <w:lvlText w:val="•"/>
      <w:lvlJc w:val="left"/>
      <w:pPr>
        <w:ind w:left="6868" w:hanging="584"/>
      </w:pPr>
      <w:rPr>
        <w:rFonts w:hint="default"/>
        <w:lang w:val="en-US" w:eastAsia="en-US" w:bidi="ar-SA"/>
      </w:rPr>
    </w:lvl>
    <w:lvl w:ilvl="7">
      <w:start w:val="0"/>
      <w:numFmt w:val="bullet"/>
      <w:lvlText w:val="•"/>
      <w:lvlJc w:val="left"/>
      <w:pPr>
        <w:ind w:left="7756" w:hanging="584"/>
      </w:pPr>
      <w:rPr>
        <w:rFonts w:hint="default"/>
        <w:lang w:val="en-US" w:eastAsia="en-US" w:bidi="ar-SA"/>
      </w:rPr>
    </w:lvl>
    <w:lvl w:ilvl="8">
      <w:start w:val="0"/>
      <w:numFmt w:val="bullet"/>
      <w:lvlText w:val="•"/>
      <w:lvlJc w:val="left"/>
      <w:pPr>
        <w:ind w:left="8644" w:hanging="584"/>
      </w:pPr>
      <w:rPr>
        <w:rFonts w:hint="default"/>
        <w:lang w:val="en-US" w:eastAsia="en-US" w:bidi="ar-SA"/>
      </w:rPr>
    </w:lvl>
  </w:abstractNum>
  <w:abstractNum w:abstractNumId="0">
    <w:multiLevelType w:val="hybridMultilevel"/>
    <w:lvl w:ilvl="0">
      <w:start w:val="1"/>
      <w:numFmt w:val="decimal"/>
      <w:lvlText w:val="(%1)"/>
      <w:lvlJc w:val="left"/>
      <w:pPr>
        <w:ind w:left="366" w:hanging="279"/>
        <w:jc w:val="left"/>
      </w:pPr>
      <w:rPr>
        <w:rFonts w:hint="default" w:ascii="Times New Roman" w:hAnsi="Times New Roman" w:eastAsia="Times New Roman" w:cs="Times New Roman"/>
        <w:b w:val="0"/>
        <w:bCs w:val="0"/>
        <w:i w:val="0"/>
        <w:iCs w:val="0"/>
        <w:spacing w:val="-1"/>
        <w:w w:val="99"/>
        <w:sz w:val="19"/>
        <w:szCs w:val="19"/>
        <w:lang w:val="en-US" w:eastAsia="en-US" w:bidi="ar-SA"/>
      </w:rPr>
    </w:lvl>
    <w:lvl w:ilvl="1">
      <w:start w:val="1"/>
      <w:numFmt w:val="lowerLetter"/>
      <w:lvlText w:val="(%2)"/>
      <w:lvlJc w:val="left"/>
      <w:pPr>
        <w:ind w:left="1529" w:hanging="584"/>
        <w:jc w:val="left"/>
      </w:pPr>
      <w:rPr>
        <w:rFonts w:hint="default"/>
        <w:spacing w:val="-1"/>
        <w:w w:val="99"/>
        <w:lang w:val="en-US" w:eastAsia="en-US" w:bidi="ar-SA"/>
      </w:rPr>
    </w:lvl>
    <w:lvl w:ilvl="2">
      <w:start w:val="1"/>
      <w:numFmt w:val="decimal"/>
      <w:lvlText w:val="%3."/>
      <w:lvlJc w:val="left"/>
      <w:pPr>
        <w:ind w:left="1530" w:hanging="584"/>
        <w:jc w:val="left"/>
      </w:pPr>
      <w:rPr>
        <w:rFonts w:hint="default"/>
        <w:spacing w:val="0"/>
        <w:w w:val="99"/>
        <w:lang w:val="en-US" w:eastAsia="en-US" w:bidi="ar-SA"/>
      </w:rPr>
    </w:lvl>
    <w:lvl w:ilvl="3">
      <w:start w:val="0"/>
      <w:numFmt w:val="bullet"/>
      <w:lvlText w:val="•"/>
      <w:lvlJc w:val="left"/>
      <w:pPr>
        <w:ind w:left="2650" w:hanging="584"/>
      </w:pPr>
      <w:rPr>
        <w:rFonts w:hint="default"/>
        <w:lang w:val="en-US" w:eastAsia="en-US" w:bidi="ar-SA"/>
      </w:rPr>
    </w:lvl>
    <w:lvl w:ilvl="4">
      <w:start w:val="0"/>
      <w:numFmt w:val="bullet"/>
      <w:lvlText w:val="•"/>
      <w:lvlJc w:val="left"/>
      <w:pPr>
        <w:ind w:left="3760" w:hanging="584"/>
      </w:pPr>
      <w:rPr>
        <w:rFonts w:hint="default"/>
        <w:lang w:val="en-US" w:eastAsia="en-US" w:bidi="ar-SA"/>
      </w:rPr>
    </w:lvl>
    <w:lvl w:ilvl="5">
      <w:start w:val="0"/>
      <w:numFmt w:val="bullet"/>
      <w:lvlText w:val="•"/>
      <w:lvlJc w:val="left"/>
      <w:pPr>
        <w:ind w:left="4870" w:hanging="584"/>
      </w:pPr>
      <w:rPr>
        <w:rFonts w:hint="default"/>
        <w:lang w:val="en-US" w:eastAsia="en-US" w:bidi="ar-SA"/>
      </w:rPr>
    </w:lvl>
    <w:lvl w:ilvl="6">
      <w:start w:val="0"/>
      <w:numFmt w:val="bullet"/>
      <w:lvlText w:val="•"/>
      <w:lvlJc w:val="left"/>
      <w:pPr>
        <w:ind w:left="5980" w:hanging="584"/>
      </w:pPr>
      <w:rPr>
        <w:rFonts w:hint="default"/>
        <w:lang w:val="en-US" w:eastAsia="en-US" w:bidi="ar-SA"/>
      </w:rPr>
    </w:lvl>
    <w:lvl w:ilvl="7">
      <w:start w:val="0"/>
      <w:numFmt w:val="bullet"/>
      <w:lvlText w:val="•"/>
      <w:lvlJc w:val="left"/>
      <w:pPr>
        <w:ind w:left="7090" w:hanging="584"/>
      </w:pPr>
      <w:rPr>
        <w:rFonts w:hint="default"/>
        <w:lang w:val="en-US" w:eastAsia="en-US" w:bidi="ar-SA"/>
      </w:rPr>
    </w:lvl>
    <w:lvl w:ilvl="8">
      <w:start w:val="0"/>
      <w:numFmt w:val="bullet"/>
      <w:lvlText w:val="•"/>
      <w:lvlJc w:val="left"/>
      <w:pPr>
        <w:ind w:left="8200" w:hanging="584"/>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9"/>
      <w:szCs w:val="19"/>
      <w:lang w:val="en-US" w:eastAsia="en-US" w:bidi="ar-SA"/>
    </w:rPr>
  </w:style>
  <w:style w:styleId="Heading1" w:type="paragraph">
    <w:name w:val="Heading 1"/>
    <w:basedOn w:val="Normal"/>
    <w:uiPriority w:val="1"/>
    <w:qFormat/>
    <w:pPr>
      <w:ind w:left="119"/>
      <w:outlineLvl w:val="1"/>
    </w:pPr>
    <w:rPr>
      <w:rFonts w:ascii="Times New Roman" w:hAnsi="Times New Roman" w:eastAsia="Times New Roman" w:cs="Times New Roman"/>
      <w:b/>
      <w:bCs/>
      <w:sz w:val="19"/>
      <w:szCs w:val="19"/>
      <w:lang w:val="en-US" w:eastAsia="en-US" w:bidi="ar-SA"/>
    </w:rPr>
  </w:style>
  <w:style w:styleId="Title" w:type="paragraph">
    <w:name w:val="Title"/>
    <w:basedOn w:val="Normal"/>
    <w:uiPriority w:val="1"/>
    <w:qFormat/>
    <w:pPr>
      <w:ind w:left="1000"/>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366" w:firstLine="58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satisfied Microsoft Office User</dc:creator>
  <dcterms:created xsi:type="dcterms:W3CDTF">2022-07-27T13:24:58Z</dcterms:created>
  <dcterms:modified xsi:type="dcterms:W3CDTF">2022-07-27T13:24:58Z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0x010100330B4FFE9BA0204FB96D85A847CFAF2C</vt:lpwstr>
  </property>
  <property fmtid="{D5CDD505-2E9C-101B-9397-08002B2CF9AE}" pid="3" name="Created">
    <vt:filetime>2021-12-06T00:00:00Z</vt:filetime>
  </property>
  <property fmtid="{D5CDD505-2E9C-101B-9397-08002B2CF9AE}" pid="4" name="Creator">
    <vt:lpwstr>Acrobat PDFMaker 21 for Word</vt:lpwstr>
  </property>
  <property fmtid="{D5CDD505-2E9C-101B-9397-08002B2CF9AE}" pid="5" name="LastSaved">
    <vt:filetime>2022-07-27T00:00:00Z</vt:filetime>
  </property>
  <property fmtid="{D5CDD505-2E9C-101B-9397-08002B2CF9AE}" pid="6" name="Producer">
    <vt:lpwstr>Adobe PDF Library 21.7.131</vt:lpwstr>
  </property>
  <property fmtid="{D5CDD505-2E9C-101B-9397-08002B2CF9AE}" pid="7" name="SourceModified">
    <vt:lpwstr>D:20211206211131</vt:lpwstr>
  </property>
</Properties>
</file>