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3AEC" w14:textId="77777777" w:rsidR="00A77B3E" w:rsidRDefault="001D4200" w:rsidP="009272AE">
      <w:pPr>
        <w:pStyle w:val="Heading1"/>
      </w:pPr>
      <w:r w:rsidRPr="009272AE">
        <w:t>Attendance</w:t>
      </w:r>
    </w:p>
    <w:p w14:paraId="346D8D5A" w14:textId="2D449968" w:rsidR="00F35161" w:rsidRDefault="00F35161">
      <w:pPr>
        <w:spacing w:before="80"/>
        <w:rPr>
          <w:rFonts w:eastAsia="Calibri" w:cs="Calibri"/>
          <w:b/>
          <w:noProof/>
        </w:rPr>
      </w:pPr>
      <w:r>
        <w:rPr>
          <w:rFonts w:eastAsia="Calibri" w:cs="Calibri"/>
          <w:b/>
          <w:noProof/>
        </w:rPr>
        <w:t>Present:</w:t>
      </w:r>
    </w:p>
    <w:p w14:paraId="031A8111" w14:textId="1B764CA2" w:rsidR="00F35161" w:rsidRDefault="00F35161">
      <w:pPr>
        <w:spacing w:before="80"/>
        <w:rPr>
          <w:rFonts w:eastAsia="Calibri" w:cs="Calibri"/>
          <w:b/>
          <w:noProof/>
        </w:rPr>
      </w:pPr>
      <w:r>
        <w:rPr>
          <w:rFonts w:eastAsia="Calibri" w:cs="Calibri"/>
          <w:noProof/>
        </w:rPr>
        <w:t>Jason Barrett</w:t>
      </w:r>
      <w:r w:rsidR="00606694">
        <w:rPr>
          <w:rFonts w:eastAsia="Calibri" w:cs="Calibri"/>
          <w:noProof/>
        </w:rPr>
        <w:t xml:space="preserve"> (Chair)</w:t>
      </w:r>
      <w:r>
        <w:rPr>
          <w:rFonts w:eastAsia="Calibri" w:cs="Calibri"/>
          <w:noProof/>
        </w:rPr>
        <w:t>,</w:t>
      </w:r>
      <w:r w:rsidR="001E235C" w:rsidRPr="001E235C">
        <w:rPr>
          <w:rFonts w:eastAsia="Calibri" w:cs="Calibri"/>
          <w:noProof/>
        </w:rPr>
        <w:t xml:space="preserve"> </w:t>
      </w:r>
      <w:r w:rsidR="001E235C">
        <w:rPr>
          <w:rFonts w:eastAsia="Calibri" w:cs="Calibri"/>
          <w:noProof/>
        </w:rPr>
        <w:t>Amelia Dyal,</w:t>
      </w:r>
      <w:r w:rsidR="001E235C" w:rsidRPr="001E235C">
        <w:rPr>
          <w:rFonts w:eastAsia="Calibri" w:cs="Calibri"/>
          <w:noProof/>
        </w:rPr>
        <w:t xml:space="preserve"> </w:t>
      </w:r>
      <w:r w:rsidR="001E235C">
        <w:rPr>
          <w:rFonts w:eastAsia="Calibri" w:cs="Calibri"/>
          <w:noProof/>
        </w:rPr>
        <w:t>Kevin Hyde</w:t>
      </w:r>
      <w:r w:rsidR="00606694">
        <w:rPr>
          <w:rFonts w:eastAsia="Calibri" w:cs="Calibri"/>
          <w:noProof/>
        </w:rPr>
        <w:t xml:space="preserve"> (ex officio)</w:t>
      </w:r>
      <w:r w:rsidR="001E235C">
        <w:rPr>
          <w:rFonts w:eastAsia="Calibri" w:cs="Calibri"/>
          <w:noProof/>
        </w:rPr>
        <w:t>,</w:t>
      </w:r>
      <w:r w:rsidR="00B72F2F" w:rsidRPr="00B72F2F">
        <w:rPr>
          <w:rFonts w:eastAsia="Calibri" w:cs="Calibri"/>
          <w:noProof/>
        </w:rPr>
        <w:t xml:space="preserve"> </w:t>
      </w:r>
      <w:r w:rsidR="00B72F2F">
        <w:rPr>
          <w:rFonts w:eastAsia="Calibri" w:cs="Calibri"/>
          <w:noProof/>
        </w:rPr>
        <w:t>Allison Korman Shelton,</w:t>
      </w:r>
      <w:r w:rsidR="00B72F2F" w:rsidRPr="00B72F2F">
        <w:rPr>
          <w:rFonts w:eastAsia="Calibri" w:cs="Calibri"/>
          <w:noProof/>
        </w:rPr>
        <w:t xml:space="preserve"> </w:t>
      </w:r>
      <w:r w:rsidR="00B72F2F">
        <w:rPr>
          <w:rFonts w:eastAsia="Calibri" w:cs="Calibri"/>
          <w:noProof/>
        </w:rPr>
        <w:t>Paul McElroy</w:t>
      </w:r>
    </w:p>
    <w:p w14:paraId="75453AED" w14:textId="1D3C7BFE" w:rsidR="00A77B3E" w:rsidRDefault="001D4200">
      <w:pPr>
        <w:spacing w:before="80"/>
        <w:rPr>
          <w:rFonts w:eastAsia="Calibri" w:cs="Calibri"/>
          <w:b/>
          <w:noProof/>
        </w:rPr>
      </w:pPr>
      <w:r>
        <w:rPr>
          <w:rFonts w:eastAsia="Calibri" w:cs="Calibri"/>
          <w:b/>
          <w:noProof/>
        </w:rPr>
        <w:t>Absent:</w:t>
      </w:r>
    </w:p>
    <w:p w14:paraId="75453AEE" w14:textId="704125D9" w:rsidR="00A77B3E" w:rsidRDefault="001D4200">
      <w:pPr>
        <w:spacing w:line="276" w:lineRule="auto"/>
        <w:rPr>
          <w:rFonts w:eastAsia="Calibri" w:cs="Calibri"/>
          <w:noProof/>
        </w:rPr>
      </w:pPr>
      <w:r>
        <w:rPr>
          <w:rFonts w:eastAsia="Calibri" w:cs="Calibri"/>
          <w:noProof/>
        </w:rPr>
        <w:t>Jack Boyle, Nik Patel</w:t>
      </w:r>
    </w:p>
    <w:p w14:paraId="460F4F4C" w14:textId="1BAFC314" w:rsidR="009272AE" w:rsidRDefault="009272AE" w:rsidP="009272AE">
      <w:pPr>
        <w:pStyle w:val="Heading1"/>
      </w:pPr>
      <w:r>
        <w:t>Minutes</w:t>
      </w:r>
    </w:p>
    <w:p w14:paraId="75453AEF" w14:textId="77777777" w:rsidR="00A77B3E" w:rsidRDefault="001D4200" w:rsidP="009272AE">
      <w:pPr>
        <w:pStyle w:val="Heading2"/>
      </w:pPr>
      <w:r>
        <w:t xml:space="preserve">Call to Order </w:t>
      </w:r>
    </w:p>
    <w:p w14:paraId="75453AF1" w14:textId="0411EAFD" w:rsidR="00A77B3E" w:rsidRDefault="00F35161" w:rsidP="00F35161">
      <w:pPr>
        <w:pStyle w:val="p"/>
        <w:spacing w:after="150"/>
        <w:ind w:right="180"/>
        <w:rPr>
          <w:rFonts w:eastAsia="Calibri" w:cs="Calibri"/>
        </w:rPr>
      </w:pPr>
      <w:r>
        <w:rPr>
          <w:rFonts w:eastAsia="Calibri" w:cs="Calibri"/>
        </w:rPr>
        <w:t>Chair Jason Barrett called the meeting to order at 9:05 AM</w:t>
      </w:r>
      <w:r w:rsidR="00CF4AFD">
        <w:rPr>
          <w:rFonts w:eastAsia="Calibri" w:cs="Calibri"/>
        </w:rPr>
        <w:t>.</w:t>
      </w:r>
    </w:p>
    <w:p w14:paraId="75453AF2" w14:textId="77777777" w:rsidR="00A77B3E" w:rsidRDefault="001D4200" w:rsidP="00D779F1">
      <w:pPr>
        <w:pStyle w:val="Heading2"/>
      </w:pPr>
      <w:r>
        <w:t xml:space="preserve">Public Comment </w:t>
      </w:r>
    </w:p>
    <w:p w14:paraId="65E719C1" w14:textId="55BCB47D" w:rsidR="00643B99" w:rsidRPr="00643B99" w:rsidRDefault="00643B99" w:rsidP="00643B99">
      <w:r>
        <w:t>Karen Stone, Vice President and General Counsel, confirmed there were no</w:t>
      </w:r>
      <w:r w:rsidR="00A936C6">
        <w:t xml:space="preserve"> </w:t>
      </w:r>
      <w:r>
        <w:t>requests for public comment.</w:t>
      </w:r>
      <w:r w:rsidR="007022C3">
        <w:t xml:space="preserve"> VP Stone also confirmed a quorum.</w:t>
      </w:r>
    </w:p>
    <w:p w14:paraId="75453AF3" w14:textId="77777777" w:rsidR="00A77B3E" w:rsidRDefault="001D4200" w:rsidP="00D779F1">
      <w:pPr>
        <w:pStyle w:val="Heading2"/>
      </w:pPr>
      <w:r>
        <w:t xml:space="preserve">Approval Item </w:t>
      </w:r>
    </w:p>
    <w:p w14:paraId="75453AF4" w14:textId="77777777" w:rsidR="00A77B3E" w:rsidRDefault="001D4200" w:rsidP="00D779F1">
      <w:pPr>
        <w:pStyle w:val="Heading3"/>
        <w:rPr>
          <w:noProof/>
        </w:rPr>
      </w:pPr>
      <w:r>
        <w:rPr>
          <w:noProof/>
        </w:rPr>
        <w:t xml:space="preserve">SPMI-1: Consent Agenda </w:t>
      </w:r>
    </w:p>
    <w:p w14:paraId="63E9895F" w14:textId="77777777" w:rsidR="00CF4AFD" w:rsidRPr="009272AE" w:rsidRDefault="00CF4AFD" w:rsidP="00CF4AFD">
      <w:pPr>
        <w:numPr>
          <w:ilvl w:val="0"/>
          <w:numId w:val="6"/>
        </w:numPr>
        <w:rPr>
          <w:noProof/>
        </w:rPr>
      </w:pPr>
      <w:r>
        <w:rPr>
          <w:noProof/>
        </w:rPr>
        <w:t xml:space="preserve">February 12, 2025 Draft Strategic Plan Implementation and Monitoring Committee Meeting Minutes </w:t>
      </w:r>
    </w:p>
    <w:p w14:paraId="75453AF5" w14:textId="7A37E057" w:rsidR="0010015B" w:rsidRDefault="00DC46D2" w:rsidP="00796DD1">
      <w:pPr>
        <w:pStyle w:val="p"/>
        <w:spacing w:before="120" w:after="120"/>
        <w:ind w:left="360" w:right="187"/>
        <w:rPr>
          <w:rFonts w:eastAsia="Calibri" w:cs="Calibri"/>
        </w:rPr>
      </w:pPr>
      <w:r w:rsidRPr="00DC46D2">
        <w:rPr>
          <w:rFonts w:eastAsia="Calibri" w:cs="Calibri"/>
        </w:rPr>
        <w:t xml:space="preserve">Chair Barrett asked for a MOTION to approve the </w:t>
      </w:r>
      <w:r>
        <w:rPr>
          <w:rFonts w:eastAsia="Calibri" w:cs="Calibri"/>
        </w:rPr>
        <w:t>February 12, 2025</w:t>
      </w:r>
      <w:r w:rsidRPr="00DC46D2">
        <w:rPr>
          <w:rFonts w:eastAsia="Calibri" w:cs="Calibri"/>
        </w:rPr>
        <w:t xml:space="preserve"> Draft Strategic Plan Implementation and Monitoring Committee meeting minutes. Trustee </w:t>
      </w:r>
      <w:r>
        <w:rPr>
          <w:rFonts w:eastAsia="Calibri" w:cs="Calibri"/>
        </w:rPr>
        <w:t>Hyde</w:t>
      </w:r>
      <w:r w:rsidRPr="00DC46D2">
        <w:rPr>
          <w:rFonts w:eastAsia="Calibri" w:cs="Calibri"/>
        </w:rPr>
        <w:t xml:space="preserve"> made a MOTION to APPROVE, Trustee </w:t>
      </w:r>
      <w:r>
        <w:rPr>
          <w:rFonts w:eastAsia="Calibri" w:cs="Calibri"/>
        </w:rPr>
        <w:t>McElroy</w:t>
      </w:r>
      <w:r w:rsidRPr="00DC46D2">
        <w:rPr>
          <w:rFonts w:eastAsia="Calibri" w:cs="Calibri"/>
        </w:rPr>
        <w:t xml:space="preserve"> SECONDED the motion, and the committee unanimously approved the minutes</w:t>
      </w:r>
      <w:r>
        <w:rPr>
          <w:rFonts w:eastAsia="Calibri" w:cs="Calibri"/>
        </w:rPr>
        <w:t>.</w:t>
      </w:r>
    </w:p>
    <w:p w14:paraId="75453AFF" w14:textId="79EDD513" w:rsidR="0010015B" w:rsidRPr="00F35161" w:rsidRDefault="001D4200" w:rsidP="00F35161">
      <w:pPr>
        <w:pStyle w:val="Heading2"/>
      </w:pPr>
      <w:r>
        <w:t xml:space="preserve">Discussion Item </w:t>
      </w:r>
    </w:p>
    <w:p w14:paraId="055D7E9F" w14:textId="24956B08" w:rsidR="00D779F1" w:rsidRDefault="00F35161" w:rsidP="00D779F1">
      <w:pPr>
        <w:pStyle w:val="Heading3"/>
        <w:rPr>
          <w:noProof/>
        </w:rPr>
      </w:pPr>
      <w:r w:rsidRPr="00F35161">
        <w:rPr>
          <w:noProof/>
        </w:rPr>
        <w:t>DISC-1: Update on the Strategic Plan Key Performance Indicators</w:t>
      </w:r>
    </w:p>
    <w:p w14:paraId="52DE7D68" w14:textId="63CA5172" w:rsidR="00796DD1" w:rsidRPr="004C3023" w:rsidRDefault="00796DD1" w:rsidP="00796DD1">
      <w:pPr>
        <w:pStyle w:val="p"/>
        <w:spacing w:before="120" w:after="120"/>
        <w:ind w:left="360" w:right="187"/>
        <w:rPr>
          <w:rFonts w:eastAsia="Calibri" w:cs="Calibri"/>
          <w:b/>
          <w:bCs/>
        </w:rPr>
      </w:pPr>
      <w:r w:rsidRPr="00796DD1">
        <w:rPr>
          <w:rFonts w:eastAsia="Calibri" w:cs="Calibri"/>
        </w:rPr>
        <w:t xml:space="preserve">Dr. Paul Eason, Vice President for Strategy and Innovation, </w:t>
      </w:r>
      <w:r w:rsidR="002A6B0F">
        <w:rPr>
          <w:rFonts w:eastAsia="Calibri" w:cs="Calibri"/>
        </w:rPr>
        <w:t>reiterated</w:t>
      </w:r>
      <w:r w:rsidRPr="00796DD1">
        <w:rPr>
          <w:rFonts w:eastAsia="Calibri" w:cs="Calibri"/>
        </w:rPr>
        <w:t xml:space="preserve"> the university’s mission, vision, and values as outlined in the strategic plan. He emphasized that the vision of becoming the destination for choice, talent, and public and private investment continued to drive all aspects of the plan. </w:t>
      </w:r>
      <w:r w:rsidR="002A6B0F">
        <w:rPr>
          <w:rFonts w:eastAsia="Calibri" w:cs="Calibri"/>
        </w:rPr>
        <w:t>Dr. Eason</w:t>
      </w:r>
      <w:r w:rsidRPr="00796DD1">
        <w:rPr>
          <w:rFonts w:eastAsia="Calibri" w:cs="Calibri"/>
        </w:rPr>
        <w:t xml:space="preserve"> noted the institutional aspirations of achieving a top 100 ranking in U.S. News and World Report and reaching 25,000 students by 2028.</w:t>
      </w:r>
      <w:r w:rsidR="004C3023">
        <w:rPr>
          <w:rFonts w:eastAsia="Calibri" w:cs="Calibri"/>
        </w:rPr>
        <w:t xml:space="preserve"> </w:t>
      </w:r>
    </w:p>
    <w:p w14:paraId="3A33402B" w14:textId="67130859" w:rsidR="006E5527" w:rsidRDefault="00FB34B5" w:rsidP="006E5527">
      <w:pPr>
        <w:pStyle w:val="p"/>
        <w:spacing w:before="120" w:after="120"/>
        <w:ind w:left="360" w:right="187"/>
        <w:rPr>
          <w:rFonts w:eastAsia="Calibri" w:cs="Calibri"/>
        </w:rPr>
      </w:pPr>
      <w:r>
        <w:rPr>
          <w:rFonts w:eastAsia="Calibri" w:cs="Calibri"/>
        </w:rPr>
        <w:t>VP</w:t>
      </w:r>
      <w:r w:rsidR="00796DD1" w:rsidRPr="00796DD1">
        <w:rPr>
          <w:rFonts w:eastAsia="Calibri" w:cs="Calibri"/>
        </w:rPr>
        <w:t xml:space="preserve"> Eason reviewed the key performance indicators (KPIs) from the strategic plan</w:t>
      </w:r>
      <w:r w:rsidR="00081EAE">
        <w:rPr>
          <w:rFonts w:eastAsia="Calibri" w:cs="Calibri"/>
        </w:rPr>
        <w:t xml:space="preserve">. </w:t>
      </w:r>
      <w:r w:rsidR="00DA446A" w:rsidRPr="00DA446A">
        <w:rPr>
          <w:rFonts w:eastAsia="Calibri" w:cs="Calibri"/>
        </w:rPr>
        <w:t>Under Student Success, he noted that most goals were on track or met except for the FTIC four-year graduation rate, which remained below target but showed improvement.</w:t>
      </w:r>
      <w:r w:rsidR="00DA446A">
        <w:rPr>
          <w:rFonts w:eastAsia="Calibri" w:cs="Calibri"/>
        </w:rPr>
        <w:t xml:space="preserve"> </w:t>
      </w:r>
      <w:r w:rsidR="00C43D84">
        <w:rPr>
          <w:rFonts w:eastAsia="Calibri" w:cs="Calibri"/>
        </w:rPr>
        <w:t xml:space="preserve">VP Eason </w:t>
      </w:r>
      <w:r w:rsidR="00254E54" w:rsidRPr="00254E54">
        <w:rPr>
          <w:rFonts w:eastAsia="Calibri" w:cs="Calibri"/>
        </w:rPr>
        <w:t xml:space="preserve">explained that the metric had reflected admissions policies from six years earlier and the </w:t>
      </w:r>
      <w:r w:rsidR="00254E54" w:rsidRPr="00254E54">
        <w:rPr>
          <w:rFonts w:eastAsia="Calibri" w:cs="Calibri"/>
        </w:rPr>
        <w:lastRenderedPageBreak/>
        <w:t xml:space="preserve">impact of the COVID-19 pandemic. </w:t>
      </w:r>
      <w:r w:rsidR="00C43D84">
        <w:rPr>
          <w:rFonts w:eastAsia="Calibri" w:cs="Calibri"/>
        </w:rPr>
        <w:t>He</w:t>
      </w:r>
      <w:r w:rsidR="00254E54" w:rsidRPr="00254E54">
        <w:rPr>
          <w:rFonts w:eastAsia="Calibri" w:cs="Calibri"/>
        </w:rPr>
        <w:t xml:space="preserve"> noted it was a lagging indicator expected to resolve over time</w:t>
      </w:r>
      <w:r>
        <w:rPr>
          <w:rFonts w:eastAsia="Calibri" w:cs="Calibri"/>
        </w:rPr>
        <w:t xml:space="preserve"> and </w:t>
      </w:r>
      <w:r w:rsidR="00796DD1" w:rsidRPr="00796DD1">
        <w:rPr>
          <w:rFonts w:eastAsia="Calibri" w:cs="Calibri"/>
        </w:rPr>
        <w:t>anticipated further gains in the coming year.</w:t>
      </w:r>
      <w:r w:rsidR="006E5527">
        <w:rPr>
          <w:rFonts w:eastAsia="Calibri" w:cs="Calibri"/>
        </w:rPr>
        <w:t xml:space="preserve"> </w:t>
      </w:r>
      <w:r w:rsidR="008319D5">
        <w:rPr>
          <w:rFonts w:eastAsia="Calibri" w:cs="Calibri"/>
        </w:rPr>
        <w:t xml:space="preserve">VP Eason </w:t>
      </w:r>
      <w:r w:rsidR="000C1E32">
        <w:rPr>
          <w:rFonts w:eastAsia="Calibri" w:cs="Calibri"/>
        </w:rPr>
        <w:t>stated</w:t>
      </w:r>
      <w:r w:rsidR="00796DD1" w:rsidRPr="00796DD1">
        <w:rPr>
          <w:rFonts w:eastAsia="Calibri" w:cs="Calibri"/>
        </w:rPr>
        <w:t xml:space="preserve"> that the university had already met its 2028 goal for median wages in previous years</w:t>
      </w:r>
      <w:r w:rsidR="00B03A14">
        <w:rPr>
          <w:rFonts w:eastAsia="Calibri" w:cs="Calibri"/>
        </w:rPr>
        <w:t xml:space="preserve"> and that o</w:t>
      </w:r>
      <w:r w:rsidR="00796DD1" w:rsidRPr="00796DD1">
        <w:rPr>
          <w:rFonts w:eastAsia="Calibri" w:cs="Calibri"/>
        </w:rPr>
        <w:t xml:space="preserve">fficial numbers were pending. </w:t>
      </w:r>
    </w:p>
    <w:p w14:paraId="44256F56" w14:textId="53B13916" w:rsidR="00796DD1" w:rsidRPr="00796DD1" w:rsidRDefault="00796DD1" w:rsidP="006E5527">
      <w:pPr>
        <w:pStyle w:val="p"/>
        <w:spacing w:before="120" w:after="120"/>
        <w:ind w:left="360" w:right="187"/>
        <w:rPr>
          <w:rFonts w:eastAsia="Calibri" w:cs="Calibri"/>
        </w:rPr>
      </w:pPr>
      <w:r w:rsidRPr="00796DD1">
        <w:rPr>
          <w:rFonts w:eastAsia="Calibri" w:cs="Calibri"/>
        </w:rPr>
        <w:t xml:space="preserve">Research and industry contract metrics </w:t>
      </w:r>
      <w:r w:rsidR="00CD6CB8">
        <w:rPr>
          <w:rFonts w:eastAsia="Calibri" w:cs="Calibri"/>
        </w:rPr>
        <w:t>ar</w:t>
      </w:r>
      <w:r w:rsidRPr="00796DD1">
        <w:rPr>
          <w:rFonts w:eastAsia="Calibri" w:cs="Calibri"/>
        </w:rPr>
        <w:t xml:space="preserve">e scheduled for spring </w:t>
      </w:r>
      <w:r w:rsidR="00081B49">
        <w:rPr>
          <w:rFonts w:eastAsia="Calibri" w:cs="Calibri"/>
        </w:rPr>
        <w:t xml:space="preserve">2026 </w:t>
      </w:r>
      <w:r w:rsidRPr="00796DD1">
        <w:rPr>
          <w:rFonts w:eastAsia="Calibri" w:cs="Calibri"/>
        </w:rPr>
        <w:t>reporting and</w:t>
      </w:r>
      <w:r w:rsidR="00CD6CB8">
        <w:rPr>
          <w:rFonts w:eastAsia="Calibri" w:cs="Calibri"/>
        </w:rPr>
        <w:t xml:space="preserve"> are</w:t>
      </w:r>
      <w:r w:rsidRPr="00796DD1">
        <w:rPr>
          <w:rFonts w:eastAsia="Calibri" w:cs="Calibri"/>
        </w:rPr>
        <w:t xml:space="preserve"> currently on track. </w:t>
      </w:r>
      <w:r w:rsidR="00A13F05">
        <w:rPr>
          <w:rFonts w:eastAsia="Calibri" w:cs="Calibri"/>
        </w:rPr>
        <w:t>VP</w:t>
      </w:r>
      <w:r w:rsidRPr="00796DD1">
        <w:rPr>
          <w:rFonts w:eastAsia="Calibri" w:cs="Calibri"/>
        </w:rPr>
        <w:t xml:space="preserve"> Eason cautioned that federal funding challenges could affect R&amp;D expenditures but noted that </w:t>
      </w:r>
      <w:r w:rsidR="006B0E1D">
        <w:rPr>
          <w:rFonts w:eastAsia="Calibri" w:cs="Calibri"/>
        </w:rPr>
        <w:t>Dr. Kimberly Mayer,</w:t>
      </w:r>
      <w:r w:rsidRPr="00796DD1">
        <w:rPr>
          <w:rFonts w:eastAsia="Calibri" w:cs="Calibri"/>
        </w:rPr>
        <w:t xml:space="preserve"> Chief Research Officer</w:t>
      </w:r>
      <w:r w:rsidR="006B0E1D">
        <w:rPr>
          <w:rFonts w:eastAsia="Calibri" w:cs="Calibri"/>
        </w:rPr>
        <w:t xml:space="preserve">, was recently </w:t>
      </w:r>
      <w:r w:rsidRPr="00796DD1">
        <w:rPr>
          <w:rFonts w:eastAsia="Calibri" w:cs="Calibri"/>
        </w:rPr>
        <w:t>appointed and actively addressing these issues. He confirmed that the university exceeded its goal for doctoral degrees by one</w:t>
      </w:r>
      <w:r w:rsidR="00D54D4B">
        <w:rPr>
          <w:rFonts w:eastAsia="Calibri" w:cs="Calibri"/>
        </w:rPr>
        <w:t>.</w:t>
      </w:r>
    </w:p>
    <w:p w14:paraId="6B2D1ACB" w14:textId="1655C635" w:rsidR="00796DD1" w:rsidRPr="00796DD1" w:rsidRDefault="00796DD1" w:rsidP="00796DD1">
      <w:pPr>
        <w:pStyle w:val="p"/>
        <w:spacing w:before="120" w:after="120"/>
        <w:ind w:left="360" w:right="187"/>
        <w:rPr>
          <w:rFonts w:eastAsia="Calibri" w:cs="Calibri"/>
        </w:rPr>
      </w:pPr>
      <w:r w:rsidRPr="00796DD1">
        <w:rPr>
          <w:rFonts w:eastAsia="Calibri" w:cs="Calibri"/>
        </w:rPr>
        <w:t xml:space="preserve">Regarding partnerships, </w:t>
      </w:r>
      <w:r w:rsidR="001910A0">
        <w:rPr>
          <w:rFonts w:eastAsia="Calibri" w:cs="Calibri"/>
        </w:rPr>
        <w:t>VP</w:t>
      </w:r>
      <w:r w:rsidRPr="00796DD1">
        <w:rPr>
          <w:rFonts w:eastAsia="Calibri" w:cs="Calibri"/>
        </w:rPr>
        <w:t xml:space="preserve"> Eason explained that revised criteria </w:t>
      </w:r>
      <w:r w:rsidR="001910A0">
        <w:rPr>
          <w:rFonts w:eastAsia="Calibri" w:cs="Calibri"/>
        </w:rPr>
        <w:t>was</w:t>
      </w:r>
      <w:r w:rsidRPr="00796DD1">
        <w:rPr>
          <w:rFonts w:eastAsia="Calibri" w:cs="Calibri"/>
        </w:rPr>
        <w:t xml:space="preserve"> implemented, and the goal of creating ten new partnerships this year was met, increasing the total from 48 to 58. He projected that the </w:t>
      </w:r>
      <w:r w:rsidR="00B736CD">
        <w:rPr>
          <w:rFonts w:eastAsia="Calibri" w:cs="Calibri"/>
        </w:rPr>
        <w:t>2028 goal</w:t>
      </w:r>
      <w:r w:rsidRPr="00796DD1">
        <w:rPr>
          <w:rFonts w:eastAsia="Calibri" w:cs="Calibri"/>
        </w:rPr>
        <w:t xml:space="preserve"> of 88 partnerships remained on track. He reported that 351 community partners served on UNF boards, a slight increase from last year, and clarified that this metric was treated as a point of pride rather than a growth target.</w:t>
      </w:r>
    </w:p>
    <w:p w14:paraId="3C69D4CF" w14:textId="5CBB3B73" w:rsidR="00796DD1" w:rsidRPr="00796DD1" w:rsidRDefault="00516E54" w:rsidP="00796DD1">
      <w:pPr>
        <w:pStyle w:val="p"/>
        <w:spacing w:before="120" w:after="120"/>
        <w:ind w:left="360" w:right="187"/>
        <w:rPr>
          <w:rFonts w:eastAsia="Calibri" w:cs="Calibri"/>
        </w:rPr>
      </w:pPr>
      <w:r>
        <w:rPr>
          <w:rFonts w:eastAsia="Calibri" w:cs="Calibri"/>
        </w:rPr>
        <w:t xml:space="preserve">VP </w:t>
      </w:r>
      <w:r w:rsidR="00796DD1" w:rsidRPr="00796DD1">
        <w:rPr>
          <w:rFonts w:eastAsia="Calibri" w:cs="Calibri"/>
        </w:rPr>
        <w:t>Eason announced that enrollment in community-engaged courses surpassed the goal of 6,710 students, reaching 7,115</w:t>
      </w:r>
      <w:r w:rsidR="004B64AD">
        <w:rPr>
          <w:rFonts w:eastAsia="Calibri" w:cs="Calibri"/>
        </w:rPr>
        <w:t xml:space="preserve"> students</w:t>
      </w:r>
      <w:r w:rsidR="00796DD1" w:rsidRPr="00796DD1">
        <w:rPr>
          <w:rFonts w:eastAsia="Calibri" w:cs="Calibri"/>
        </w:rPr>
        <w:t xml:space="preserve">. </w:t>
      </w:r>
      <w:r w:rsidR="00CF797F" w:rsidRPr="00CF797F">
        <w:rPr>
          <w:rFonts w:eastAsia="Calibri" w:cs="Calibri"/>
        </w:rPr>
        <w:t>He noted that many community-engaged courses qualify as experiential learning, contributing to the objective of ensuring all students complete an experiential learning experience prior to graduation.</w:t>
      </w:r>
    </w:p>
    <w:p w14:paraId="4315D4CD" w14:textId="4C67C802" w:rsidR="00796DD1" w:rsidRPr="00796DD1" w:rsidRDefault="00213897" w:rsidP="00796DD1">
      <w:pPr>
        <w:pStyle w:val="p"/>
        <w:spacing w:before="120" w:after="120"/>
        <w:ind w:left="360" w:right="187"/>
        <w:rPr>
          <w:rFonts w:eastAsia="Calibri" w:cs="Calibri"/>
        </w:rPr>
      </w:pPr>
      <w:r w:rsidRPr="00213897">
        <w:rPr>
          <w:rFonts w:eastAsia="Calibri" w:cs="Calibri"/>
        </w:rPr>
        <w:t xml:space="preserve">For faculty and staff success, </w:t>
      </w:r>
      <w:r w:rsidR="00AB5AF0">
        <w:rPr>
          <w:rFonts w:eastAsia="Calibri" w:cs="Calibri"/>
        </w:rPr>
        <w:t>VP</w:t>
      </w:r>
      <w:r w:rsidRPr="00213897">
        <w:rPr>
          <w:rFonts w:eastAsia="Calibri" w:cs="Calibri"/>
        </w:rPr>
        <w:t xml:space="preserve"> Eason indicated that compensation data will be reported later; as of spring</w:t>
      </w:r>
      <w:r w:rsidR="00081B49">
        <w:rPr>
          <w:rFonts w:eastAsia="Calibri" w:cs="Calibri"/>
        </w:rPr>
        <w:t xml:space="preserve"> 2025</w:t>
      </w:r>
      <w:r w:rsidRPr="00213897">
        <w:rPr>
          <w:rFonts w:eastAsia="Calibri" w:cs="Calibri"/>
        </w:rPr>
        <w:t>, average faculty compensation was on track and above the 2028 goal.</w:t>
      </w:r>
      <w:r w:rsidR="00796DD1" w:rsidRPr="00796DD1">
        <w:rPr>
          <w:rFonts w:eastAsia="Calibri" w:cs="Calibri"/>
        </w:rPr>
        <w:t xml:space="preserve"> He cautioned that fluctuations could occur due to retirements and hiring trends. He concluded by commending Teresa Nichols</w:t>
      </w:r>
      <w:r w:rsidR="00EC5A37">
        <w:rPr>
          <w:rFonts w:eastAsia="Calibri" w:cs="Calibri"/>
        </w:rPr>
        <w:t>,</w:t>
      </w:r>
      <w:r w:rsidR="006D60CD">
        <w:rPr>
          <w:rFonts w:eastAsia="Calibri" w:cs="Calibri"/>
        </w:rPr>
        <w:t xml:space="preserve"> </w:t>
      </w:r>
      <w:r w:rsidR="006D60CD" w:rsidRPr="006D60CD">
        <w:rPr>
          <w:rFonts w:eastAsia="Calibri" w:cs="Calibri"/>
        </w:rPr>
        <w:t>Vice President</w:t>
      </w:r>
      <w:r w:rsidR="006D60CD">
        <w:rPr>
          <w:rFonts w:eastAsia="Calibri" w:cs="Calibri"/>
        </w:rPr>
        <w:t xml:space="preserve"> of University Development and Alumni Engagement</w:t>
      </w:r>
      <w:r w:rsidR="00F94539">
        <w:rPr>
          <w:rFonts w:eastAsia="Calibri" w:cs="Calibri"/>
        </w:rPr>
        <w:t xml:space="preserve"> (UDAE)</w:t>
      </w:r>
      <w:r w:rsidR="006D60CD" w:rsidRPr="006D60CD">
        <w:rPr>
          <w:rFonts w:eastAsia="Calibri" w:cs="Calibri"/>
        </w:rPr>
        <w:t xml:space="preserve"> and Executive Director, UNF Foundation, Inc.</w:t>
      </w:r>
      <w:r w:rsidR="00F94539">
        <w:rPr>
          <w:rFonts w:eastAsia="Calibri" w:cs="Calibri"/>
        </w:rPr>
        <w:t>,</w:t>
      </w:r>
      <w:r w:rsidR="00796DD1" w:rsidRPr="00796DD1">
        <w:rPr>
          <w:rFonts w:eastAsia="Calibri" w:cs="Calibri"/>
        </w:rPr>
        <w:t xml:space="preserve"> for exceeding the fundraising goal of $33</w:t>
      </w:r>
      <w:r w:rsidR="00F94539">
        <w:rPr>
          <w:rFonts w:eastAsia="Calibri" w:cs="Calibri"/>
        </w:rPr>
        <w:t>M</w:t>
      </w:r>
      <w:r w:rsidR="00796DD1" w:rsidRPr="00796DD1">
        <w:rPr>
          <w:rFonts w:eastAsia="Calibri" w:cs="Calibri"/>
        </w:rPr>
        <w:t xml:space="preserve"> by raising $34.9</w:t>
      </w:r>
      <w:r w:rsidR="00F94539">
        <w:rPr>
          <w:rFonts w:eastAsia="Calibri" w:cs="Calibri"/>
        </w:rPr>
        <w:t>M</w:t>
      </w:r>
      <w:r w:rsidR="00796DD1" w:rsidRPr="00796DD1">
        <w:rPr>
          <w:rFonts w:eastAsia="Calibri" w:cs="Calibri"/>
        </w:rPr>
        <w:t xml:space="preserve"> and noted continued progress toward the upcoming year’s target.</w:t>
      </w:r>
    </w:p>
    <w:p w14:paraId="0326CCCF" w14:textId="753B4087" w:rsidR="00796DD1" w:rsidRDefault="003A6F99" w:rsidP="00796DD1">
      <w:pPr>
        <w:pStyle w:val="p"/>
        <w:spacing w:before="120" w:after="120"/>
        <w:ind w:left="360" w:right="187"/>
        <w:rPr>
          <w:rFonts w:eastAsia="Calibri" w:cs="Calibri"/>
        </w:rPr>
      </w:pPr>
      <w:r>
        <w:rPr>
          <w:rFonts w:eastAsia="Calibri" w:cs="Calibri"/>
        </w:rPr>
        <w:t>VP</w:t>
      </w:r>
      <w:r w:rsidR="00796DD1" w:rsidRPr="00796DD1">
        <w:rPr>
          <w:rFonts w:eastAsia="Calibri" w:cs="Calibri"/>
        </w:rPr>
        <w:t xml:space="preserve"> </w:t>
      </w:r>
      <w:r w:rsidRPr="003A6F99">
        <w:rPr>
          <w:rFonts w:eastAsia="Calibri" w:cs="Calibri"/>
        </w:rPr>
        <w:t>noted that</w:t>
      </w:r>
      <w:r w:rsidR="00DD77F2">
        <w:rPr>
          <w:rFonts w:eastAsia="Calibri" w:cs="Calibri"/>
        </w:rPr>
        <w:t xml:space="preserve"> aside from the</w:t>
      </w:r>
      <w:r w:rsidRPr="003A6F99">
        <w:rPr>
          <w:rFonts w:eastAsia="Calibri" w:cs="Calibri"/>
        </w:rPr>
        <w:t xml:space="preserve"> four-year graduation rate, all KPIs were on track, emphasizing the importance of data-driven strategic planning in shaping the university’s </w:t>
      </w:r>
      <w:r w:rsidR="00DD77F2" w:rsidRPr="003A6F99">
        <w:rPr>
          <w:rFonts w:eastAsia="Calibri" w:cs="Calibri"/>
        </w:rPr>
        <w:t>progress.</w:t>
      </w:r>
    </w:p>
    <w:p w14:paraId="2D5674F6" w14:textId="6F46638C" w:rsidR="00F0459F" w:rsidRPr="00F0459F" w:rsidRDefault="00F0459F" w:rsidP="009F6676">
      <w:pPr>
        <w:pStyle w:val="p"/>
        <w:spacing w:before="120" w:after="120"/>
        <w:ind w:left="360" w:right="187"/>
        <w:rPr>
          <w:rFonts w:eastAsia="Calibri" w:cs="Calibri"/>
        </w:rPr>
      </w:pPr>
      <w:r w:rsidRPr="00F0459F">
        <w:rPr>
          <w:rFonts w:eastAsia="Calibri" w:cs="Calibri"/>
        </w:rPr>
        <w:t>Trustee McElroy asked which strategic goal appeared most difficult to achieve by 2028, noting that retention and graduation metrics seemed particularly challenging.</w:t>
      </w:r>
      <w:r w:rsidR="009F6676">
        <w:rPr>
          <w:rFonts w:eastAsia="Calibri" w:cs="Calibri"/>
        </w:rPr>
        <w:t xml:space="preserve"> </w:t>
      </w:r>
      <w:r w:rsidR="001028D2">
        <w:rPr>
          <w:rFonts w:eastAsia="Calibri" w:cs="Calibri"/>
        </w:rPr>
        <w:t>VP</w:t>
      </w:r>
      <w:r w:rsidRPr="00F0459F">
        <w:rPr>
          <w:rFonts w:eastAsia="Calibri" w:cs="Calibri"/>
        </w:rPr>
        <w:t xml:space="preserve"> Eason responded that the 90% retention rate for APR </w:t>
      </w:r>
      <w:r w:rsidR="00AB5A75">
        <w:rPr>
          <w:rFonts w:eastAsia="Calibri" w:cs="Calibri"/>
        </w:rPr>
        <w:t xml:space="preserve">(retention with a 2.0) </w:t>
      </w:r>
      <w:r w:rsidRPr="00F0459F">
        <w:rPr>
          <w:rFonts w:eastAsia="Calibri" w:cs="Calibri"/>
        </w:rPr>
        <w:t>represented the most ambitious target, describing it as achievable but requiring sustained effort. He added that improving the FTIC four-year graduation rate remained difficult due to historical factors such as prior admission cycles and the impact of the pandemic. While acknowledging these constraints, he expressed confidence that current initiatives would continue to drive progress toward both goals.</w:t>
      </w:r>
    </w:p>
    <w:p w14:paraId="22FDAC92" w14:textId="0B901815" w:rsidR="00F0459F" w:rsidRDefault="005938D6" w:rsidP="00796DD1">
      <w:pPr>
        <w:pStyle w:val="p"/>
        <w:spacing w:before="120" w:after="120"/>
        <w:ind w:left="360" w:right="187"/>
        <w:rPr>
          <w:rFonts w:eastAsia="Calibri" w:cs="Calibri"/>
        </w:rPr>
      </w:pPr>
      <w:r w:rsidRPr="005938D6">
        <w:rPr>
          <w:rFonts w:eastAsia="Calibri" w:cs="Calibri"/>
        </w:rPr>
        <w:t xml:space="preserve">President Limayem </w:t>
      </w:r>
      <w:r w:rsidR="00C26C23">
        <w:rPr>
          <w:rFonts w:eastAsia="Calibri" w:cs="Calibri"/>
        </w:rPr>
        <w:t>agreed</w:t>
      </w:r>
      <w:r w:rsidRPr="005938D6">
        <w:rPr>
          <w:rFonts w:eastAsia="Calibri" w:cs="Calibri"/>
        </w:rPr>
        <w:t xml:space="preserve"> that the university would reach or come close to the 90% APR retention goal. He emphasized that the </w:t>
      </w:r>
      <w:r w:rsidR="00DB6192">
        <w:rPr>
          <w:rFonts w:eastAsia="Calibri" w:cs="Calibri"/>
        </w:rPr>
        <w:t xml:space="preserve">FTIC </w:t>
      </w:r>
      <w:r w:rsidRPr="005938D6">
        <w:rPr>
          <w:rFonts w:eastAsia="Calibri" w:cs="Calibri"/>
        </w:rPr>
        <w:t xml:space="preserve">four-year graduation rate posed the greatest challenge because it depended on consistent retention across multiple years. </w:t>
      </w:r>
      <w:r w:rsidR="00047551">
        <w:rPr>
          <w:rFonts w:eastAsia="Calibri" w:cs="Calibri"/>
        </w:rPr>
        <w:t xml:space="preserve">President </w:t>
      </w:r>
      <w:r w:rsidR="00047551">
        <w:rPr>
          <w:rFonts w:eastAsia="Calibri" w:cs="Calibri"/>
        </w:rPr>
        <w:lastRenderedPageBreak/>
        <w:t>Limayem</w:t>
      </w:r>
      <w:r w:rsidRPr="005938D6">
        <w:rPr>
          <w:rFonts w:eastAsia="Calibri" w:cs="Calibri"/>
        </w:rPr>
        <w:t xml:space="preserve"> affirmed that clear directives had been issued, with the provost holding deans accountable and detailed plans actively in place to monitor progress.</w:t>
      </w:r>
    </w:p>
    <w:p w14:paraId="3B925200" w14:textId="0EAAA36D" w:rsidR="00F35161" w:rsidRDefault="00DD2229" w:rsidP="00DD2229">
      <w:pPr>
        <w:pStyle w:val="p"/>
        <w:spacing w:before="120" w:after="120"/>
        <w:ind w:left="360" w:right="187"/>
        <w:rPr>
          <w:rFonts w:eastAsia="Calibri" w:cs="Calibri"/>
        </w:rPr>
      </w:pPr>
      <w:r w:rsidRPr="00DD2229">
        <w:rPr>
          <w:rFonts w:eastAsia="Calibri" w:cs="Calibri"/>
        </w:rPr>
        <w:t>Trustee Barrett inquired about progress toward the university’s overarching enrollment goal. Vice President Eason responded that the topic would be addressed shortly</w:t>
      </w:r>
      <w:r>
        <w:rPr>
          <w:rFonts w:eastAsia="Calibri" w:cs="Calibri"/>
        </w:rPr>
        <w:t>.</w:t>
      </w:r>
      <w:r w:rsidR="00F35161">
        <w:rPr>
          <w:rFonts w:eastAsia="Calibri" w:cs="Calibri"/>
        </w:rPr>
        <w:t> </w:t>
      </w:r>
    </w:p>
    <w:p w14:paraId="0D0AC532" w14:textId="4900D43F" w:rsidR="00CC46D6" w:rsidRPr="00CC46D6" w:rsidRDefault="00F96FAB" w:rsidP="00CC46D6">
      <w:pPr>
        <w:pStyle w:val="p"/>
        <w:spacing w:before="120" w:after="120"/>
        <w:ind w:left="360" w:right="187"/>
        <w:rPr>
          <w:rFonts w:eastAsia="Calibri" w:cs="Calibri"/>
        </w:rPr>
      </w:pPr>
      <w:r>
        <w:rPr>
          <w:rFonts w:eastAsia="Calibri" w:cs="Calibri"/>
        </w:rPr>
        <w:t>VP</w:t>
      </w:r>
      <w:r w:rsidR="00CC46D6" w:rsidRPr="00CC46D6">
        <w:rPr>
          <w:rFonts w:eastAsia="Calibri" w:cs="Calibri"/>
        </w:rPr>
        <w:t xml:space="preserve"> Eason highlighted significant progress in key metrics, noting that FTIC retention and APR reached record levels for the university. He explained that the narrowing gap between retention and APR indicated the effectiveness of student success initiatives, including </w:t>
      </w:r>
      <w:r w:rsidR="00125092">
        <w:rPr>
          <w:rFonts w:eastAsia="Calibri" w:cs="Calibri"/>
        </w:rPr>
        <w:t>personalized</w:t>
      </w:r>
      <w:r w:rsidR="00CC46D6" w:rsidRPr="00CC46D6">
        <w:rPr>
          <w:rFonts w:eastAsia="Calibri" w:cs="Calibri"/>
        </w:rPr>
        <w:t xml:space="preserve"> support for freshmen, which strengthened the incoming cohort.</w:t>
      </w:r>
    </w:p>
    <w:p w14:paraId="713BD465" w14:textId="7D4453F2" w:rsidR="00CC46D6" w:rsidRPr="00CC46D6" w:rsidRDefault="00D42DA9" w:rsidP="00CC46D6">
      <w:pPr>
        <w:pStyle w:val="p"/>
        <w:spacing w:before="120" w:after="120"/>
        <w:ind w:left="360" w:right="187"/>
        <w:rPr>
          <w:rFonts w:eastAsia="Calibri" w:cs="Calibri"/>
        </w:rPr>
      </w:pPr>
      <w:r>
        <w:rPr>
          <w:rFonts w:eastAsia="Calibri" w:cs="Calibri"/>
        </w:rPr>
        <w:t xml:space="preserve">UNF is expected to achieve 86 points in PBF metrics this year. </w:t>
      </w:r>
      <w:r w:rsidR="001122C4">
        <w:rPr>
          <w:rFonts w:eastAsia="Calibri" w:cs="Calibri"/>
        </w:rPr>
        <w:t xml:space="preserve">VP Eason reported </w:t>
      </w:r>
      <w:r w:rsidR="00CC46D6" w:rsidRPr="00CC46D6">
        <w:rPr>
          <w:rFonts w:eastAsia="Calibri" w:cs="Calibri"/>
        </w:rPr>
        <w:t xml:space="preserve">UNF achieved its highest fall enrollment in history with 17,680 students, </w:t>
      </w:r>
      <w:r w:rsidR="001122C4">
        <w:rPr>
          <w:rFonts w:eastAsia="Calibri" w:cs="Calibri"/>
        </w:rPr>
        <w:t>with a record FTIC enrollment of 3,172 students</w:t>
      </w:r>
      <w:r w:rsidR="00CC46D6" w:rsidRPr="00CC46D6">
        <w:rPr>
          <w:rFonts w:eastAsia="Calibri" w:cs="Calibri"/>
        </w:rPr>
        <w:t>.</w:t>
      </w:r>
      <w:r w:rsidR="008E2CB0">
        <w:rPr>
          <w:rFonts w:eastAsia="Calibri" w:cs="Calibri"/>
        </w:rPr>
        <w:t xml:space="preserve"> VP</w:t>
      </w:r>
      <w:r w:rsidR="00CC46D6" w:rsidRPr="00CC46D6">
        <w:rPr>
          <w:rFonts w:eastAsia="Calibri" w:cs="Calibri"/>
        </w:rPr>
        <w:t xml:space="preserve"> Eason emphasized that these gains positioned the university for continued enrollment growth.</w:t>
      </w:r>
    </w:p>
    <w:p w14:paraId="7B806D40" w14:textId="601F158E" w:rsidR="00355B8B" w:rsidRDefault="008E2CB0" w:rsidP="00802130">
      <w:pPr>
        <w:pStyle w:val="p"/>
        <w:spacing w:before="120" w:after="120"/>
        <w:ind w:left="360" w:right="187"/>
        <w:rPr>
          <w:rFonts w:eastAsia="Calibri" w:cs="Calibri"/>
        </w:rPr>
      </w:pPr>
      <w:r>
        <w:rPr>
          <w:rFonts w:eastAsia="Calibri" w:cs="Calibri"/>
        </w:rPr>
        <w:t xml:space="preserve">VP Eason </w:t>
      </w:r>
      <w:r w:rsidR="00CC46D6" w:rsidRPr="00CC46D6">
        <w:rPr>
          <w:rFonts w:eastAsia="Calibri" w:cs="Calibri"/>
        </w:rPr>
        <w:t xml:space="preserve">also announced that UNF moved up four places in the U.S. News &amp; World Report rankings to 122, acknowledging that while progress was steady, additional measures were needed to reach the top 100 goal by 2028. He noted that a dedicated </w:t>
      </w:r>
      <w:r w:rsidR="0005325E">
        <w:rPr>
          <w:rFonts w:eastAsia="Calibri" w:cs="Calibri"/>
        </w:rPr>
        <w:t>task force</w:t>
      </w:r>
      <w:r w:rsidR="00CC46D6" w:rsidRPr="00CC46D6">
        <w:rPr>
          <w:rFonts w:eastAsia="Calibri" w:cs="Calibri"/>
        </w:rPr>
        <w:t xml:space="preserve"> had been formed to accelerate ranking improvements, with further details to be provided later in the meeting.</w:t>
      </w:r>
      <w:r w:rsidR="00802130">
        <w:rPr>
          <w:rFonts w:eastAsia="Calibri" w:cs="Calibri"/>
        </w:rPr>
        <w:t xml:space="preserve"> </w:t>
      </w:r>
      <w:r w:rsidR="00355B8B">
        <w:rPr>
          <w:rFonts w:eastAsia="Calibri" w:cs="Calibri"/>
        </w:rPr>
        <w:t>President Limayem</w:t>
      </w:r>
      <w:r w:rsidR="00E74AD6">
        <w:rPr>
          <w:rFonts w:eastAsia="Calibri" w:cs="Calibri"/>
        </w:rPr>
        <w:t xml:space="preserve"> emphasized that UNF will reach the top 100 in the U.S. News &amp; World Report </w:t>
      </w:r>
      <w:r w:rsidR="00802130">
        <w:rPr>
          <w:rFonts w:eastAsia="Calibri" w:cs="Calibri"/>
        </w:rPr>
        <w:t>by 2028.</w:t>
      </w:r>
    </w:p>
    <w:p w14:paraId="4B180BC9" w14:textId="06E13CBB" w:rsidR="00CC46D6" w:rsidRDefault="00B92B4E" w:rsidP="00DD2229">
      <w:pPr>
        <w:pStyle w:val="p"/>
        <w:spacing w:before="120" w:after="120"/>
        <w:ind w:left="360" w:right="187"/>
        <w:rPr>
          <w:rFonts w:eastAsia="Calibri" w:cs="Calibri"/>
        </w:rPr>
      </w:pPr>
      <w:r>
        <w:rPr>
          <w:rFonts w:eastAsia="Calibri" w:cs="Calibri"/>
        </w:rPr>
        <w:t>VP</w:t>
      </w:r>
      <w:r w:rsidRPr="00B92B4E">
        <w:rPr>
          <w:rFonts w:eastAsia="Calibri" w:cs="Calibri"/>
        </w:rPr>
        <w:t xml:space="preserve"> Eason concluded by highlighting additional points of pride. He noted that the Wall Street Journal ranked UNF third among all institutions in Florida, including both public and private universities, calling it a significant achievement. He also commended the foundation’s fundraising progress, reporting $18.2 million raised toward the $35 million annual goal. He emphasized that this figure did not yet include the anticipated year-end and fiscal-year donation pushes, expressing confidence that the foundation, under </w:t>
      </w:r>
      <w:r w:rsidR="009A43F3">
        <w:rPr>
          <w:rFonts w:eastAsia="Calibri" w:cs="Calibri"/>
        </w:rPr>
        <w:t>VP</w:t>
      </w:r>
      <w:r w:rsidRPr="00B92B4E">
        <w:rPr>
          <w:rFonts w:eastAsia="Calibri" w:cs="Calibri"/>
        </w:rPr>
        <w:t xml:space="preserve"> Nichols’ leadership, was on track for another successful year.</w:t>
      </w:r>
    </w:p>
    <w:p w14:paraId="45FE90E5" w14:textId="6F241049" w:rsidR="00D779F1" w:rsidRDefault="001D4200" w:rsidP="00D779F1">
      <w:pPr>
        <w:pStyle w:val="Heading3"/>
        <w:rPr>
          <w:noProof/>
        </w:rPr>
      </w:pPr>
      <w:r>
        <w:rPr>
          <w:noProof/>
        </w:rPr>
        <w:t>DISC-</w:t>
      </w:r>
      <w:r w:rsidR="00F35161">
        <w:rPr>
          <w:noProof/>
        </w:rPr>
        <w:t>2</w:t>
      </w:r>
      <w:r>
        <w:rPr>
          <w:noProof/>
        </w:rPr>
        <w:t xml:space="preserve">: UNF’s Pathway to U.S. News &amp; World Report Top 100 Public University and Update on Performance Based Funding Changes </w:t>
      </w:r>
    </w:p>
    <w:p w14:paraId="0743C644" w14:textId="68E7B5DA" w:rsidR="00D172C0" w:rsidRPr="00D172C0" w:rsidRDefault="00C13216" w:rsidP="00D172C0">
      <w:pPr>
        <w:pStyle w:val="p"/>
        <w:spacing w:before="120" w:after="120"/>
        <w:ind w:left="360" w:right="187"/>
        <w:rPr>
          <w:rFonts w:eastAsia="Calibri" w:cs="Calibri"/>
        </w:rPr>
      </w:pPr>
      <w:r>
        <w:rPr>
          <w:rFonts w:eastAsia="Calibri" w:cs="Calibri"/>
        </w:rPr>
        <w:t xml:space="preserve">Dr. Abby Willcox, Associate Vice President of Institutional Research and Performance, </w:t>
      </w:r>
      <w:r w:rsidR="00D172C0" w:rsidRPr="00D172C0">
        <w:rPr>
          <w:rFonts w:eastAsia="Calibri" w:cs="Calibri"/>
        </w:rPr>
        <w:t>presented an update on UNF’s progress toward achieving a Top 100 ranking. She announced that UNF reached a ranking of 122 this year, climbing four places. She reviewed key ranking factors, noting positive trends in graduation rates, financial resources per student, faculty salaries, full-time faculty percentage, SAT scores, and research citations. Retention remained stable due to the three-year average calculation, but recent improvements are expected to impact future rankings significantly.</w:t>
      </w:r>
    </w:p>
    <w:p w14:paraId="4E19DD45" w14:textId="62762CEE" w:rsidR="00D172C0" w:rsidRPr="00D172C0" w:rsidRDefault="00D172C0" w:rsidP="00D172C0">
      <w:pPr>
        <w:pStyle w:val="p"/>
        <w:spacing w:before="120" w:after="120"/>
        <w:ind w:left="360" w:right="187"/>
        <w:rPr>
          <w:rFonts w:eastAsia="Calibri" w:cs="Calibri"/>
        </w:rPr>
      </w:pPr>
      <w:r w:rsidRPr="00D172C0">
        <w:rPr>
          <w:rFonts w:eastAsia="Calibri" w:cs="Calibri"/>
        </w:rPr>
        <w:t xml:space="preserve">She highlighted areas needing attention, including increased borrower debt and Pell student graduation rates. These metrics will take time to improve as lower-retention cohorts cycle out. Dr. Willcox emphasized that reputation and six-year graduation rates are the most influential factors for advancement. She explained that the </w:t>
      </w:r>
      <w:r w:rsidR="0045018D" w:rsidRPr="00A075A1">
        <w:rPr>
          <w:rFonts w:eastAsia="Calibri" w:cs="Calibri"/>
        </w:rPr>
        <w:t>Reputation</w:t>
      </w:r>
      <w:r w:rsidR="00A20C2F">
        <w:rPr>
          <w:rFonts w:eastAsia="Calibri" w:cs="Calibri"/>
        </w:rPr>
        <w:t xml:space="preserve"> </w:t>
      </w:r>
      <w:r w:rsidRPr="00D172C0">
        <w:rPr>
          <w:rFonts w:eastAsia="Calibri" w:cs="Calibri"/>
        </w:rPr>
        <w:t xml:space="preserve">Task </w:t>
      </w:r>
      <w:r w:rsidRPr="00D172C0">
        <w:rPr>
          <w:rFonts w:eastAsia="Calibri" w:cs="Calibri"/>
        </w:rPr>
        <w:lastRenderedPageBreak/>
        <w:t>Force, which includes academic deans and key leadership, is aligned with strategic planning efforts to improve these metrics. Currently, 52% of ranking factors are addressed through existing initiatives.</w:t>
      </w:r>
    </w:p>
    <w:p w14:paraId="514A6D3E" w14:textId="33B7E174" w:rsidR="00D172C0" w:rsidRPr="00D172C0" w:rsidRDefault="00D172C0" w:rsidP="00D172C0">
      <w:pPr>
        <w:pStyle w:val="p"/>
        <w:spacing w:before="120" w:after="120"/>
        <w:ind w:left="360" w:right="187"/>
        <w:rPr>
          <w:rFonts w:eastAsia="Calibri" w:cs="Calibri"/>
        </w:rPr>
      </w:pPr>
      <w:r w:rsidRPr="00D172C0">
        <w:rPr>
          <w:rFonts w:eastAsia="Calibri" w:cs="Calibri"/>
        </w:rPr>
        <w:t xml:space="preserve">Strategic goals include a 92% retention rate and a 60% four-year graduation rate, equating to a 72% six-year graduation rate. Achieving these targets would position UNF within the Top 100. She demonstrated </w:t>
      </w:r>
      <w:r w:rsidR="00035722" w:rsidRPr="00035722">
        <w:rPr>
          <w:rFonts w:eastAsia="Calibri" w:cs="Calibri"/>
        </w:rPr>
        <w:t>an application that IR developed in partnerships with ITS</w:t>
      </w:r>
      <w:r w:rsidRPr="00D172C0">
        <w:rPr>
          <w:rFonts w:eastAsia="Calibri" w:cs="Calibri"/>
        </w:rPr>
        <w:t xml:space="preserve"> that models ranking impacts based on metric changes, showing that modest improvements in retention and graduation rates could secure this goal.</w:t>
      </w:r>
    </w:p>
    <w:p w14:paraId="2F4DC0CF" w14:textId="38721732" w:rsidR="00D172C0" w:rsidRPr="00D172C0" w:rsidRDefault="00D172C0" w:rsidP="00D172C0">
      <w:pPr>
        <w:pStyle w:val="p"/>
        <w:spacing w:before="120" w:after="120"/>
        <w:ind w:left="360" w:right="187"/>
        <w:rPr>
          <w:rFonts w:eastAsia="Calibri" w:cs="Calibri"/>
        </w:rPr>
      </w:pPr>
      <w:r w:rsidRPr="00D172C0">
        <w:rPr>
          <w:rFonts w:eastAsia="Calibri" w:cs="Calibri"/>
        </w:rPr>
        <w:t xml:space="preserve">Dr. Willcox outlined an additional pathway involving reputation enhancement, aiming to raise the peer assessment score from 2.3 to 2.4. She compared UNF’s performance to several Top 100 universities, noting that UNF outperforms them in graduation and retention rates but lags in reputation. She stressed the importance of reputation, citing examples from the State University System </w:t>
      </w:r>
      <w:r w:rsidR="00DB5B2C">
        <w:rPr>
          <w:rFonts w:eastAsia="Calibri" w:cs="Calibri"/>
        </w:rPr>
        <w:t xml:space="preserve">(SUS) </w:t>
      </w:r>
      <w:r w:rsidRPr="00D172C0">
        <w:rPr>
          <w:rFonts w:eastAsia="Calibri" w:cs="Calibri"/>
        </w:rPr>
        <w:t>where peer assessment scores significantly influenced rankings.</w:t>
      </w:r>
    </w:p>
    <w:p w14:paraId="12029FFA" w14:textId="54EAA482" w:rsidR="00D172C0" w:rsidRDefault="00D172C0" w:rsidP="00D172C0">
      <w:pPr>
        <w:pStyle w:val="p"/>
        <w:spacing w:before="120" w:after="120"/>
        <w:ind w:left="360" w:right="187"/>
        <w:rPr>
          <w:rFonts w:eastAsia="Calibri" w:cs="Calibri"/>
        </w:rPr>
      </w:pPr>
      <w:r w:rsidRPr="00D172C0">
        <w:rPr>
          <w:rFonts w:eastAsia="Calibri" w:cs="Calibri"/>
        </w:rPr>
        <w:t>Finally, she reviewed UNF’s movement from 126 to 122 and compared it to other institutions at the same level last year, noting that most declined while UNF advanced. Dr. Willcox expressed confidence in reaching the Top 100 with continued focus on strategic goals and reputation improvement.</w:t>
      </w:r>
    </w:p>
    <w:p w14:paraId="16ABAF88" w14:textId="6F58A4E7" w:rsidR="00C13216" w:rsidRDefault="00A7796A" w:rsidP="00D172C0">
      <w:pPr>
        <w:pStyle w:val="p"/>
        <w:spacing w:before="120" w:after="120"/>
        <w:ind w:left="360" w:right="187"/>
        <w:rPr>
          <w:rFonts w:eastAsia="Calibri" w:cs="Calibri"/>
        </w:rPr>
      </w:pPr>
      <w:r w:rsidRPr="00A7796A">
        <w:rPr>
          <w:rFonts w:eastAsia="Calibri" w:cs="Calibri"/>
        </w:rPr>
        <w:t>Dr. Limayem observed that Texas San Antonio’s eight-spot improvement occurred without a change in peer assessment. Dr. Willcox confirmed the increase was driven by a higher six-year graduation rate. Dr. Limayem emphasized that improving the four-year graduation rate is critical, as it directly strengthens the six-</w:t>
      </w:r>
      <w:r w:rsidR="00E40851" w:rsidRPr="00A7796A">
        <w:rPr>
          <w:rFonts w:eastAsia="Calibri" w:cs="Calibri"/>
        </w:rPr>
        <w:t>year</w:t>
      </w:r>
      <w:r w:rsidR="00E40851">
        <w:rPr>
          <w:rFonts w:eastAsia="Calibri" w:cs="Calibri"/>
        </w:rPr>
        <w:t xml:space="preserve"> graduation</w:t>
      </w:r>
      <w:r w:rsidRPr="00A7796A">
        <w:rPr>
          <w:rFonts w:eastAsia="Calibri" w:cs="Calibri"/>
        </w:rPr>
        <w:t xml:space="preserve"> rate and overall rankings. </w:t>
      </w:r>
    </w:p>
    <w:p w14:paraId="734008D7" w14:textId="0E3141D5" w:rsidR="00297B5D" w:rsidRDefault="00A142F1" w:rsidP="00D172C0">
      <w:pPr>
        <w:pStyle w:val="p"/>
        <w:spacing w:before="120" w:after="120"/>
        <w:ind w:left="360" w:right="187"/>
        <w:rPr>
          <w:rFonts w:eastAsia="Calibri" w:cs="Calibri"/>
        </w:rPr>
      </w:pPr>
      <w:r w:rsidRPr="00A142F1">
        <w:rPr>
          <w:rFonts w:eastAsia="Calibri" w:cs="Calibri"/>
        </w:rPr>
        <w:t>Dr. Willcox noted that UNF now shares the 122 ranking with several institutions, some of which declined from the previous year. She emphasized that every institution at this level holds a higher peer assessment score than UNF, underscoring its impact on rankings. Despite this, UNF leads in retention among these peers, though its six-year graduation rate remains an area for improvement. She highlighted the importance of benchmarking, citing FIU’s significant gains in peer assessment as a model to study. Other institutions, including FAMU and FAU, have also improved, with FAU’s rise possibly influenced by its Final Four appearance, demonstrating the effect of reputation on rankings. Dr. Willcox concluded by inviting questions on UNF’s path to the Top 100.</w:t>
      </w:r>
    </w:p>
    <w:p w14:paraId="27C5208E" w14:textId="2055805C" w:rsidR="009B7C3D" w:rsidRPr="009B7C3D" w:rsidRDefault="00E9192A" w:rsidP="00A075A1">
      <w:pPr>
        <w:pStyle w:val="p"/>
        <w:spacing w:before="120" w:after="120"/>
        <w:ind w:left="360" w:right="187"/>
        <w:rPr>
          <w:rFonts w:eastAsia="Calibri" w:cs="Calibri"/>
        </w:rPr>
      </w:pPr>
      <w:r>
        <w:rPr>
          <w:rFonts w:eastAsia="Calibri" w:cs="Calibri"/>
        </w:rPr>
        <w:t>President Limayem</w:t>
      </w:r>
      <w:r w:rsidR="009B7C3D" w:rsidRPr="009B7C3D">
        <w:rPr>
          <w:rFonts w:eastAsia="Calibri" w:cs="Calibri"/>
        </w:rPr>
        <w:t xml:space="preserve"> explained the rationale for creating the </w:t>
      </w:r>
      <w:r w:rsidR="00A075A1" w:rsidRPr="00A075A1">
        <w:rPr>
          <w:rFonts w:eastAsia="Calibri" w:cs="Calibri"/>
        </w:rPr>
        <w:t>Reputation</w:t>
      </w:r>
      <w:r w:rsidR="00F05BE9">
        <w:rPr>
          <w:rFonts w:eastAsia="Calibri" w:cs="Calibri"/>
        </w:rPr>
        <w:t xml:space="preserve"> Task Force</w:t>
      </w:r>
      <w:r w:rsidR="009B7C3D" w:rsidRPr="009B7C3D">
        <w:rPr>
          <w:rFonts w:eastAsia="Calibri" w:cs="Calibri"/>
        </w:rPr>
        <w:t>. Previously, responsibility for improving reputation was diffuse, resulting in limited progress. Dr. Willcox’s analysis highlighted that increasing the peer assessment score is critical to UNF’s pathway to the Top 100, prompting the formation of a dedicated team with clear accountability, timelines, and tactics.</w:t>
      </w:r>
    </w:p>
    <w:p w14:paraId="507EAACC" w14:textId="3081DB60" w:rsidR="009B7C3D" w:rsidRPr="009B7C3D" w:rsidRDefault="009B7C3D" w:rsidP="009B7C3D">
      <w:pPr>
        <w:pStyle w:val="p"/>
        <w:spacing w:before="120" w:after="120"/>
        <w:ind w:left="360" w:right="187"/>
        <w:rPr>
          <w:rFonts w:eastAsia="Calibri" w:cs="Calibri"/>
        </w:rPr>
      </w:pPr>
      <w:r w:rsidRPr="009B7C3D">
        <w:rPr>
          <w:rFonts w:eastAsia="Calibri" w:cs="Calibri"/>
        </w:rPr>
        <w:t xml:space="preserve">The </w:t>
      </w:r>
      <w:r w:rsidR="00261862">
        <w:rPr>
          <w:rFonts w:eastAsia="Calibri" w:cs="Calibri"/>
        </w:rPr>
        <w:t>P</w:t>
      </w:r>
      <w:r w:rsidRPr="009B7C3D">
        <w:rPr>
          <w:rFonts w:eastAsia="Calibri" w:cs="Calibri"/>
        </w:rPr>
        <w:t xml:space="preserve">resident noted that past efforts relied on a broad communication approach, which was ineffective. Instead, the </w:t>
      </w:r>
      <w:r w:rsidR="00A075A1" w:rsidRPr="00A075A1">
        <w:rPr>
          <w:rFonts w:eastAsia="Calibri" w:cs="Calibri"/>
        </w:rPr>
        <w:t>Reputation</w:t>
      </w:r>
      <w:r w:rsidR="00F05BE9">
        <w:rPr>
          <w:rFonts w:eastAsia="Calibri" w:cs="Calibri"/>
        </w:rPr>
        <w:t xml:space="preserve"> Task Force</w:t>
      </w:r>
      <w:r w:rsidRPr="009B7C3D">
        <w:rPr>
          <w:rFonts w:eastAsia="Calibri" w:cs="Calibri"/>
        </w:rPr>
        <w:t xml:space="preserve"> will implement a targeted strategy, focusing on leaders at institutions ranked within the top 200–250—those most likely to </w:t>
      </w:r>
      <w:r w:rsidRPr="009B7C3D">
        <w:rPr>
          <w:rFonts w:eastAsia="Calibri" w:cs="Calibri"/>
        </w:rPr>
        <w:lastRenderedPageBreak/>
        <w:t xml:space="preserve">value UNF’s progress—rather than top-tier universities. This approach ensures that outreach influences respondents whose votes carry equal weight in rankings. The team’s mandate includes refining this strategy and generating innovative ideas to raise reputation scores, while the </w:t>
      </w:r>
      <w:r w:rsidR="00A075A1" w:rsidRPr="00A075A1">
        <w:rPr>
          <w:rFonts w:eastAsia="Calibri" w:cs="Calibri"/>
        </w:rPr>
        <w:t>Reputation</w:t>
      </w:r>
      <w:r w:rsidR="00FD0B3E">
        <w:rPr>
          <w:rFonts w:eastAsia="Calibri" w:cs="Calibri"/>
        </w:rPr>
        <w:t xml:space="preserve"> Task</w:t>
      </w:r>
      <w:r w:rsidRPr="009B7C3D">
        <w:rPr>
          <w:rFonts w:eastAsia="Calibri" w:cs="Calibri"/>
        </w:rPr>
        <w:t xml:space="preserve"> Force continues work on improving six-year graduation rates.</w:t>
      </w:r>
    </w:p>
    <w:p w14:paraId="1838E7DB" w14:textId="66A44020" w:rsidR="0005325E" w:rsidRPr="0005325E" w:rsidRDefault="0005325E" w:rsidP="0005325E">
      <w:pPr>
        <w:pStyle w:val="p"/>
        <w:spacing w:before="120" w:after="120"/>
        <w:ind w:left="360" w:right="187"/>
        <w:rPr>
          <w:rFonts w:eastAsia="Calibri" w:cs="Calibri"/>
        </w:rPr>
      </w:pPr>
      <w:r w:rsidRPr="0005325E">
        <w:rPr>
          <w:rFonts w:eastAsia="Calibri" w:cs="Calibri"/>
        </w:rPr>
        <w:t xml:space="preserve">VP Eason provided an update on the </w:t>
      </w:r>
      <w:r w:rsidR="00A075A1" w:rsidRPr="00A075A1">
        <w:rPr>
          <w:rFonts w:eastAsia="Calibri" w:cs="Calibri"/>
        </w:rPr>
        <w:t>Reputation</w:t>
      </w:r>
      <w:r w:rsidRPr="0005325E">
        <w:rPr>
          <w:rFonts w:eastAsia="Calibri" w:cs="Calibri"/>
        </w:rPr>
        <w:t xml:space="preserve"> Task Force. The group has met and developed a list of 12 ideas, with the most significant being the strategy proposed by Dr. Willcox and discussed by the </w:t>
      </w:r>
      <w:r w:rsidR="005C5FAE">
        <w:rPr>
          <w:rFonts w:eastAsia="Calibri" w:cs="Calibri"/>
        </w:rPr>
        <w:t>P</w:t>
      </w:r>
      <w:r w:rsidRPr="0005325E">
        <w:rPr>
          <w:rFonts w:eastAsia="Calibri" w:cs="Calibri"/>
        </w:rPr>
        <w:t>resident. The initial plan is to organize a symposium or conference at UNF or in Jacksonville for universities ranked above 100, focusing on best practices and featuring authoritative speakers on key metrics. UNF aims to lead this initiative and position itself as a champion for collaborative improvement.</w:t>
      </w:r>
    </w:p>
    <w:p w14:paraId="5A237C9F" w14:textId="32F1B16A" w:rsidR="0005325E" w:rsidRDefault="00B40DCE" w:rsidP="0005325E">
      <w:pPr>
        <w:pStyle w:val="p"/>
        <w:spacing w:before="120" w:after="120"/>
        <w:ind w:left="360" w:right="187"/>
        <w:rPr>
          <w:rFonts w:eastAsia="Calibri" w:cs="Calibri"/>
        </w:rPr>
      </w:pPr>
      <w:r>
        <w:rPr>
          <w:rFonts w:eastAsia="Calibri" w:cs="Calibri"/>
        </w:rPr>
        <w:t xml:space="preserve">VP </w:t>
      </w:r>
      <w:r w:rsidR="0005325E" w:rsidRPr="0005325E">
        <w:rPr>
          <w:rFonts w:eastAsia="Calibri" w:cs="Calibri"/>
        </w:rPr>
        <w:t xml:space="preserve">Eason emphasized the critical role of marketing and communications, noting the strategic approach introduced under </w:t>
      </w:r>
      <w:r w:rsidR="002B4ABF">
        <w:rPr>
          <w:rFonts w:eastAsia="Calibri" w:cs="Calibri"/>
        </w:rPr>
        <w:t>Vice President of Marketing and Communications, Andrea Jones’</w:t>
      </w:r>
      <w:r w:rsidR="0005325E" w:rsidRPr="0005325E">
        <w:rPr>
          <w:rFonts w:eastAsia="Calibri" w:cs="Calibri"/>
        </w:rPr>
        <w:t xml:space="preserve"> leadership. He outlined plans for the next </w:t>
      </w:r>
      <w:r w:rsidR="00A075A1" w:rsidRPr="00A075A1">
        <w:rPr>
          <w:rFonts w:eastAsia="Calibri" w:cs="Calibri"/>
        </w:rPr>
        <w:t>Reputation</w:t>
      </w:r>
      <w:r w:rsidR="00AE356B">
        <w:rPr>
          <w:rFonts w:eastAsia="Calibri" w:cs="Calibri"/>
        </w:rPr>
        <w:t xml:space="preserve"> T</w:t>
      </w:r>
      <w:r w:rsidR="0005325E" w:rsidRPr="0005325E">
        <w:rPr>
          <w:rFonts w:eastAsia="Calibri" w:cs="Calibri"/>
        </w:rPr>
        <w:t xml:space="preserve">ask </w:t>
      </w:r>
      <w:r w:rsidR="00AE356B">
        <w:rPr>
          <w:rFonts w:eastAsia="Calibri" w:cs="Calibri"/>
        </w:rPr>
        <w:t>F</w:t>
      </w:r>
      <w:r w:rsidR="0005325E" w:rsidRPr="0005325E">
        <w:rPr>
          <w:rFonts w:eastAsia="Calibri" w:cs="Calibri"/>
        </w:rPr>
        <w:t>orce meeting to narrow the list to three priority ideas and create a comprehensive playbook for messaging and outreach. The goal is to target the right audience to influence U.S. News &amp; World Report peer assessment scores—a challenging but essential component of UNF’s strategy. Coupled with anticipated improvements in four- and six-year graduation rates, this targeted approach will drive progress toward achieving a Top 100 ranking.</w:t>
      </w:r>
    </w:p>
    <w:p w14:paraId="7FB7BC96" w14:textId="43F8156B" w:rsidR="009A2482" w:rsidRPr="0005325E" w:rsidRDefault="0038705E" w:rsidP="0005325E">
      <w:pPr>
        <w:pStyle w:val="p"/>
        <w:spacing w:before="120" w:after="120"/>
        <w:ind w:left="360" w:right="187"/>
        <w:rPr>
          <w:rFonts w:eastAsia="Calibri" w:cs="Calibri"/>
        </w:rPr>
      </w:pPr>
      <w:r w:rsidRPr="0038705E">
        <w:rPr>
          <w:rFonts w:eastAsia="Calibri" w:cs="Calibri"/>
        </w:rPr>
        <w:t xml:space="preserve">Dr. Willcox noted that deeper analysis of the data reinforced the critical influence of peer assessment on rankings. She observed that UNF outperforms several institutions in retention and graduation </w:t>
      </w:r>
      <w:r w:rsidR="007E1BE6" w:rsidRPr="0038705E">
        <w:rPr>
          <w:rFonts w:eastAsia="Calibri" w:cs="Calibri"/>
        </w:rPr>
        <w:t>rates yet</w:t>
      </w:r>
      <w:r w:rsidRPr="0038705E">
        <w:rPr>
          <w:rFonts w:eastAsia="Calibri" w:cs="Calibri"/>
        </w:rPr>
        <w:t xml:space="preserve"> remains behind due to reputation scores. </w:t>
      </w:r>
    </w:p>
    <w:p w14:paraId="661AB5D3" w14:textId="49AA1CA7" w:rsidR="004A7D4C" w:rsidRPr="004A7D4C" w:rsidRDefault="004A7D4C" w:rsidP="004A7D4C">
      <w:pPr>
        <w:pStyle w:val="p"/>
        <w:spacing w:before="120" w:after="120"/>
        <w:ind w:left="360" w:right="187"/>
        <w:rPr>
          <w:rFonts w:eastAsia="Calibri" w:cs="Calibri"/>
        </w:rPr>
      </w:pPr>
      <w:r w:rsidRPr="004A7D4C">
        <w:rPr>
          <w:rFonts w:eastAsia="Calibri" w:cs="Calibri"/>
        </w:rPr>
        <w:t>Dr. Willcox reported significant developments regarding performance-based funding (PBF). She noted that recent changes proposed by the Board of Governors</w:t>
      </w:r>
      <w:r w:rsidR="00FF0DE7">
        <w:rPr>
          <w:rFonts w:eastAsia="Calibri" w:cs="Calibri"/>
        </w:rPr>
        <w:t xml:space="preserve"> (BOG)</w:t>
      </w:r>
      <w:r w:rsidRPr="004A7D4C">
        <w:rPr>
          <w:rFonts w:eastAsia="Calibri" w:cs="Calibri"/>
        </w:rPr>
        <w:t xml:space="preserve"> have evolved over the past six weeks and will be voted on next week. UNF anticipates earning 86 points this year based on normalization for metrics 6 and 8. Importantly, funding for this cycle will remain tied to the current model, even as two models run simultaneously.</w:t>
      </w:r>
    </w:p>
    <w:p w14:paraId="29BE6015" w14:textId="77777777" w:rsidR="004A7D4C" w:rsidRPr="004A7D4C" w:rsidRDefault="004A7D4C" w:rsidP="004A7D4C">
      <w:pPr>
        <w:pStyle w:val="p"/>
        <w:spacing w:before="120" w:after="120"/>
        <w:ind w:left="360" w:right="187"/>
        <w:rPr>
          <w:rFonts w:eastAsia="Calibri" w:cs="Calibri"/>
        </w:rPr>
      </w:pPr>
      <w:r w:rsidRPr="004A7D4C">
        <w:rPr>
          <w:rFonts w:eastAsia="Calibri" w:cs="Calibri"/>
        </w:rPr>
        <w:t>She outlined major changes planned for 2027, including splitting existing metrics and introducing new ones. Metric 3 (cost to student) will be divided into two five-point components: current cost and the percentage of Florida resident undergraduates without loans. Metric 7 (University Access Rate) will also split, incorporating Pell student graduation rates, while metric 9B will be replaced by a new measure for SUS transfer students. Metric 9A will increase to eight points, benefiting UNF due to its record three-year graduation rate for Florida College System transfers.</w:t>
      </w:r>
    </w:p>
    <w:p w14:paraId="0778C5D9" w14:textId="44247556" w:rsidR="004A7D4C" w:rsidRDefault="004A7D4C" w:rsidP="004A7D4C">
      <w:pPr>
        <w:pStyle w:val="p"/>
        <w:spacing w:before="120" w:after="120"/>
        <w:ind w:left="360" w:right="187"/>
        <w:rPr>
          <w:rFonts w:eastAsia="Calibri" w:cs="Calibri"/>
        </w:rPr>
      </w:pPr>
      <w:r w:rsidRPr="004A7D4C">
        <w:rPr>
          <w:rFonts w:eastAsia="Calibri" w:cs="Calibri"/>
        </w:rPr>
        <w:t xml:space="preserve">Dr. Willcox emphasized that starting in 2027, normalization will end, and each institution will follow its own framework aligned with SUS30 strategic plan goals. She stressed the need for focused preparation now. Additional changes include removing students who transfer to another SUS institution from graduation cohorts, which could raise UNF’s rate by five percentage points, and adjusting timelines for engineering graduates to improve </w:t>
      </w:r>
      <w:r w:rsidRPr="004A7D4C">
        <w:rPr>
          <w:rFonts w:eastAsia="Calibri" w:cs="Calibri"/>
        </w:rPr>
        <w:lastRenderedPageBreak/>
        <w:t xml:space="preserve">four-year </w:t>
      </w:r>
      <w:r w:rsidR="0093728B">
        <w:rPr>
          <w:rFonts w:eastAsia="Calibri" w:cs="Calibri"/>
        </w:rPr>
        <w:t xml:space="preserve">graduation </w:t>
      </w:r>
      <w:r w:rsidRPr="004A7D4C">
        <w:rPr>
          <w:rFonts w:eastAsia="Calibri" w:cs="Calibri"/>
        </w:rPr>
        <w:t>rates. UNF is already reviewing course scheduling to align with these updates.</w:t>
      </w:r>
    </w:p>
    <w:p w14:paraId="7B13E1D3" w14:textId="22C7A051" w:rsidR="0093728B" w:rsidRPr="004A7D4C" w:rsidRDefault="00944F1E" w:rsidP="004A7D4C">
      <w:pPr>
        <w:pStyle w:val="p"/>
        <w:spacing w:before="120" w:after="120"/>
        <w:ind w:left="360" w:right="187"/>
        <w:rPr>
          <w:rFonts w:eastAsia="Calibri" w:cs="Calibri"/>
        </w:rPr>
      </w:pPr>
      <w:r w:rsidRPr="00944F1E">
        <w:rPr>
          <w:rFonts w:eastAsia="Calibri" w:cs="Calibri"/>
        </w:rPr>
        <w:t xml:space="preserve">Dr. Willcox reported that 76% of Florida resident undergraduates at UNF do not carry student loans, placing the university just behind FSU. She noted ongoing efforts to expand financial aid strategies to maintain this advantage. She also outlined changes to </w:t>
      </w:r>
      <w:r w:rsidR="009301C5">
        <w:rPr>
          <w:rFonts w:eastAsia="Calibri" w:cs="Calibri"/>
        </w:rPr>
        <w:t>PBF</w:t>
      </w:r>
      <w:r w:rsidR="00537E42">
        <w:rPr>
          <w:rFonts w:eastAsia="Calibri" w:cs="Calibri"/>
        </w:rPr>
        <w:t xml:space="preserve"> 4</w:t>
      </w:r>
      <w:r w:rsidRPr="00944F1E">
        <w:rPr>
          <w:rFonts w:eastAsia="Calibri" w:cs="Calibri"/>
        </w:rPr>
        <w:t xml:space="preserve"> metrics: students transferring to another SUS institution will be removed from </w:t>
      </w:r>
      <w:r w:rsidR="004228FE">
        <w:rPr>
          <w:rFonts w:eastAsia="Calibri" w:cs="Calibri"/>
        </w:rPr>
        <w:t>the</w:t>
      </w:r>
      <w:r w:rsidRPr="00944F1E">
        <w:rPr>
          <w:rFonts w:eastAsia="Calibri" w:cs="Calibri"/>
        </w:rPr>
        <w:t xml:space="preserve"> cohort, potentially improving graduation rates by five percentage points. Another change allows engineering students an extra term to count toward the four-year rate, benefiting UF and Florida Poly more than UNF. UNF is reviewing course scheduling for engineering majors to help them graduate within the revised timeframe.</w:t>
      </w:r>
    </w:p>
    <w:p w14:paraId="76A70F49" w14:textId="1E5721AF" w:rsidR="00A142F1" w:rsidRDefault="00636190" w:rsidP="00D172C0">
      <w:pPr>
        <w:pStyle w:val="p"/>
        <w:spacing w:before="120" w:after="120"/>
        <w:ind w:left="360" w:right="187"/>
        <w:rPr>
          <w:rFonts w:eastAsia="Calibri" w:cs="Calibri"/>
        </w:rPr>
      </w:pPr>
      <w:r w:rsidRPr="00636190">
        <w:rPr>
          <w:rFonts w:eastAsia="Calibri" w:cs="Calibri"/>
        </w:rPr>
        <w:t>Dr. Eason highlighted that UNF’s engineering programs are structured efficiently, requiring only 120 credit hours due to innovative cross-crediting with general education. This approach reduces the need for a fifth year, which benefits graduation rates for engineering students compared to other institutions.</w:t>
      </w:r>
    </w:p>
    <w:p w14:paraId="71A5DBE6" w14:textId="77A4286C" w:rsidR="00933DC2" w:rsidRPr="00933DC2" w:rsidRDefault="00933DC2" w:rsidP="00933DC2">
      <w:pPr>
        <w:pStyle w:val="p"/>
        <w:spacing w:before="120" w:after="120"/>
        <w:ind w:left="360" w:right="187"/>
        <w:rPr>
          <w:rFonts w:eastAsia="Calibri" w:cs="Calibri"/>
        </w:rPr>
      </w:pPr>
      <w:r w:rsidRPr="00933DC2">
        <w:rPr>
          <w:rFonts w:eastAsia="Calibri" w:cs="Calibri"/>
        </w:rPr>
        <w:t xml:space="preserve">Dr. Willcox reviewed proposed changes from </w:t>
      </w:r>
      <w:r w:rsidR="00FF0DE7">
        <w:rPr>
          <w:rFonts w:eastAsia="Calibri" w:cs="Calibri"/>
        </w:rPr>
        <w:t>the BOG</w:t>
      </w:r>
      <w:r w:rsidRPr="00933DC2">
        <w:rPr>
          <w:rFonts w:eastAsia="Calibri" w:cs="Calibri"/>
        </w:rPr>
        <w:t xml:space="preserve"> affecting performance metrics. She explained that removing SUS transfer students from the academic progress rate (APR) cohort would significantly improve UNF’s scores, raising last year’s APR from 82.6% to 84.4%, and the Fall 2024 cohort from 85.9% to 87.5%. She noted concerns about the new SUS transfers three-year graduation rate metric, where UNF currently performs below peers. The metric includes students with widely varying credit hours, creating challenges for accurate measurement. Dr. Willcox suggested aligning definitions with AA transfer standards, which could raise UNF’s rate to 60%.</w:t>
      </w:r>
    </w:p>
    <w:p w14:paraId="02F20650" w14:textId="77777777" w:rsidR="00933DC2" w:rsidRPr="00933DC2" w:rsidRDefault="00933DC2" w:rsidP="00933DC2">
      <w:pPr>
        <w:pStyle w:val="p"/>
        <w:spacing w:before="120" w:after="120"/>
        <w:ind w:left="360" w:right="187"/>
        <w:rPr>
          <w:rFonts w:eastAsia="Calibri" w:cs="Calibri"/>
        </w:rPr>
      </w:pPr>
      <w:r w:rsidRPr="00933DC2">
        <w:rPr>
          <w:rFonts w:eastAsia="Calibri" w:cs="Calibri"/>
        </w:rPr>
        <w:t>She also discussed changes to Metric 10, the Board of Trustees Choice Metric. The BOG will offer new options, and UNF’s Board will select the most appropriate measure. Dr. Willcox indicated that undergraduate internships may align best with UNF’s experiential learning goals. She concluded that, despite these changes, UNF is positioned strongly for 2026, with expectations of achieving at least 86 points. She invited questions and feedback to share with BOG staff.</w:t>
      </w:r>
    </w:p>
    <w:p w14:paraId="4F222128" w14:textId="3480CAE4" w:rsidR="00636190" w:rsidRDefault="00C019A5" w:rsidP="00D172C0">
      <w:pPr>
        <w:pStyle w:val="p"/>
        <w:spacing w:before="120" w:after="120"/>
        <w:ind w:left="360" w:right="187"/>
        <w:rPr>
          <w:rFonts w:eastAsia="Calibri" w:cs="Calibri"/>
        </w:rPr>
      </w:pPr>
      <w:r w:rsidRPr="00C019A5">
        <w:rPr>
          <w:rFonts w:eastAsia="Calibri" w:cs="Calibri"/>
        </w:rPr>
        <w:t xml:space="preserve">VP Eason encouraged the Board to share suggestions for the </w:t>
      </w:r>
      <w:r w:rsidR="00A075A1" w:rsidRPr="00A075A1">
        <w:rPr>
          <w:rFonts w:eastAsia="Calibri" w:cs="Calibri"/>
        </w:rPr>
        <w:t>Reputation</w:t>
      </w:r>
      <w:r w:rsidRPr="00C019A5">
        <w:rPr>
          <w:rFonts w:eastAsia="Calibri" w:cs="Calibri"/>
        </w:rPr>
        <w:t xml:space="preserve"> Task Force, either during the meeting or afterward, and then opened the floor for additional </w:t>
      </w:r>
      <w:r>
        <w:rPr>
          <w:rFonts w:eastAsia="Calibri" w:cs="Calibri"/>
        </w:rPr>
        <w:t>comments.</w:t>
      </w:r>
    </w:p>
    <w:p w14:paraId="5DED7683" w14:textId="5C1CB759" w:rsidR="00DA43C3" w:rsidRDefault="00982173" w:rsidP="00D172C0">
      <w:pPr>
        <w:pStyle w:val="p"/>
        <w:spacing w:before="120" w:after="120"/>
        <w:ind w:left="360" w:right="187"/>
        <w:rPr>
          <w:rFonts w:eastAsia="Calibri" w:cs="Calibri"/>
        </w:rPr>
      </w:pPr>
      <w:r>
        <w:rPr>
          <w:rFonts w:eastAsia="Calibri" w:cs="Calibri"/>
        </w:rPr>
        <w:t xml:space="preserve">Trustee McElroy </w:t>
      </w:r>
      <w:r w:rsidRPr="00982173">
        <w:rPr>
          <w:rFonts w:eastAsia="Calibri" w:cs="Calibri"/>
        </w:rPr>
        <w:t xml:space="preserve">noted the gap between current enrollment of 17,680 students and the strategic goal of 25,000. He suggested that a future update outline plans for achieving this growth through recruitment and engagement, as well as strategies for aligning resources to support expansion. </w:t>
      </w:r>
    </w:p>
    <w:p w14:paraId="75453B09" w14:textId="180D3FF0" w:rsidR="00A77B3E" w:rsidRDefault="00FF340D" w:rsidP="00C81057">
      <w:pPr>
        <w:pStyle w:val="p"/>
        <w:spacing w:before="120" w:after="120"/>
        <w:ind w:left="360" w:right="187"/>
        <w:rPr>
          <w:rFonts w:eastAsia="Calibri" w:cs="Calibri"/>
        </w:rPr>
      </w:pPr>
      <w:r w:rsidRPr="00FF340D">
        <w:rPr>
          <w:rFonts w:eastAsia="Calibri" w:cs="Calibri"/>
        </w:rPr>
        <w:t>VP Eason agreed and emphasized that the legislative budget request (LBR) is focused on strategic growth rather than growth</w:t>
      </w:r>
      <w:r>
        <w:rPr>
          <w:rFonts w:eastAsia="Calibri" w:cs="Calibri"/>
        </w:rPr>
        <w:t xml:space="preserve">. </w:t>
      </w:r>
      <w:r w:rsidRPr="00FF340D">
        <w:rPr>
          <w:rFonts w:eastAsia="Calibri" w:cs="Calibri"/>
        </w:rPr>
        <w:t xml:space="preserve">The LBR includes resources to support students through additional faculty for general education courses, adequate housing, advising, and other high-touch initiatives. VP Eason stated that updates on progress toward the LBR will be provided in the spring and confirmed that this will be the focus of the next </w:t>
      </w:r>
      <w:r w:rsidR="00C81057">
        <w:rPr>
          <w:rFonts w:eastAsia="Calibri" w:cs="Calibri"/>
        </w:rPr>
        <w:t>update.</w:t>
      </w:r>
      <w:r w:rsidR="001D4200">
        <w:rPr>
          <w:rFonts w:eastAsia="Calibri" w:cs="Calibri"/>
        </w:rPr>
        <w:t xml:space="preserve"> </w:t>
      </w:r>
    </w:p>
    <w:p w14:paraId="75453B0A" w14:textId="77777777" w:rsidR="00A77B3E" w:rsidRDefault="001D4200" w:rsidP="00606694">
      <w:pPr>
        <w:pStyle w:val="Heading2"/>
      </w:pPr>
      <w:r>
        <w:lastRenderedPageBreak/>
        <w:t xml:space="preserve">Adjournment </w:t>
      </w:r>
    </w:p>
    <w:p w14:paraId="75453B0B" w14:textId="7A6260B0" w:rsidR="0010015B" w:rsidRDefault="00606694" w:rsidP="00606694">
      <w:pPr>
        <w:pStyle w:val="p"/>
        <w:spacing w:after="150"/>
        <w:ind w:right="180"/>
        <w:rPr>
          <w:rFonts w:eastAsia="Calibri" w:cs="Calibri"/>
        </w:rPr>
      </w:pPr>
      <w:r>
        <w:rPr>
          <w:rFonts w:eastAsia="Calibri" w:cs="Calibri"/>
        </w:rPr>
        <w:t>With no further business to discuss, Chair Barrett adjourned the meeting at 9:55 AM.</w:t>
      </w:r>
    </w:p>
    <w:sectPr w:rsidR="0010015B">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AC63" w14:textId="77777777" w:rsidR="008F02B4" w:rsidRDefault="008F02B4">
      <w:r>
        <w:separator/>
      </w:r>
    </w:p>
  </w:endnote>
  <w:endnote w:type="continuationSeparator" w:id="0">
    <w:p w14:paraId="23C3D563" w14:textId="77777777" w:rsidR="008F02B4" w:rsidRDefault="008F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270"/>
      <w:gridCol w:w="3136"/>
    </w:tblGrid>
    <w:tr w:rsidR="0010015B" w14:paraId="75453B1B" w14:textId="77777777">
      <w:tc>
        <w:tcPr>
          <w:tcW w:w="3333" w:type="pct"/>
        </w:tcPr>
        <w:p w14:paraId="75453B19" w14:textId="77777777" w:rsidR="0010015B" w:rsidRDefault="001D4200">
          <w:pPr>
            <w:rPr>
              <w:rFonts w:eastAsia="Calibri" w:cs="Calibri"/>
              <w:noProof/>
              <w:sz w:val="20"/>
            </w:rPr>
          </w:pPr>
          <w:r>
            <w:rPr>
              <w:rFonts w:eastAsia="Calibri" w:cs="Calibri"/>
              <w:noProof/>
              <w:sz w:val="20"/>
            </w:rPr>
            <w:t xml:space="preserve">Minutes generated by </w:t>
          </w:r>
          <w:hyperlink r:id="rId1" w:history="1">
            <w:r w:rsidR="0010015B">
              <w:rPr>
                <w:rStyle w:val="Hyperlink"/>
                <w:rFonts w:eastAsia="Calibri" w:cs="Calibri"/>
                <w:noProof/>
                <w:sz w:val="20"/>
              </w:rPr>
              <w:t>OnBoard</w:t>
            </w:r>
          </w:hyperlink>
          <w:r>
            <w:rPr>
              <w:rFonts w:eastAsia="Calibri" w:cs="Calibri"/>
              <w:noProof/>
              <w:sz w:val="20"/>
            </w:rPr>
            <w:t>.</w:t>
          </w:r>
        </w:p>
      </w:tc>
      <w:tc>
        <w:tcPr>
          <w:tcW w:w="1667" w:type="pct"/>
        </w:tcPr>
        <w:p w14:paraId="75453B1A" w14:textId="77777777" w:rsidR="0010015B" w:rsidRDefault="001D4200">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75453B1C" w14:textId="77777777" w:rsidR="0010015B" w:rsidRDefault="0010015B">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06338"/>
      <w:docPartObj>
        <w:docPartGallery w:val="Page Numbers (Bottom of Page)"/>
        <w:docPartUnique/>
      </w:docPartObj>
    </w:sdtPr>
    <w:sdtEndPr>
      <w:rPr>
        <w:rFonts w:asciiTheme="minorHAnsi" w:hAnsiTheme="minorHAnsi" w:cstheme="minorHAnsi"/>
        <w:noProof/>
      </w:rPr>
    </w:sdtEndPr>
    <w:sdtContent>
      <w:p w14:paraId="093CFAF4" w14:textId="01811F05" w:rsidR="009272AE" w:rsidRPr="009272AE" w:rsidRDefault="009272AE">
        <w:pPr>
          <w:pStyle w:val="Footer"/>
          <w:jc w:val="right"/>
          <w:rPr>
            <w:rFonts w:asciiTheme="minorHAnsi" w:hAnsiTheme="minorHAnsi" w:cstheme="minorHAnsi"/>
            <w:noProof/>
          </w:rPr>
        </w:pPr>
        <w:r w:rsidRPr="009272AE">
          <w:rPr>
            <w:rFonts w:asciiTheme="minorHAnsi" w:hAnsiTheme="minorHAnsi" w:cstheme="minorHAnsi"/>
          </w:rPr>
          <w:fldChar w:fldCharType="begin"/>
        </w:r>
        <w:r w:rsidRPr="009272AE">
          <w:rPr>
            <w:rFonts w:asciiTheme="minorHAnsi" w:hAnsiTheme="minorHAnsi" w:cstheme="minorHAnsi"/>
          </w:rPr>
          <w:instrText xml:space="preserve"> PAGE   \* MERGEFORMAT </w:instrText>
        </w:r>
        <w:r w:rsidRPr="009272AE">
          <w:rPr>
            <w:rFonts w:asciiTheme="minorHAnsi" w:hAnsiTheme="minorHAnsi" w:cstheme="minorHAnsi"/>
          </w:rPr>
          <w:fldChar w:fldCharType="separate"/>
        </w:r>
        <w:r w:rsidRPr="009272AE">
          <w:rPr>
            <w:rFonts w:asciiTheme="minorHAnsi" w:hAnsiTheme="minorHAnsi" w:cstheme="minorHAnsi"/>
            <w:noProof/>
          </w:rPr>
          <w:t>2</w:t>
        </w:r>
        <w:r w:rsidRPr="009272AE">
          <w:rPr>
            <w:rFonts w:asciiTheme="minorHAnsi" w:hAnsiTheme="minorHAnsi"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D8C8" w14:textId="77777777" w:rsidR="00215BCF" w:rsidRDefault="0021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D01C" w14:textId="77777777" w:rsidR="008F02B4" w:rsidRDefault="008F02B4">
      <w:r>
        <w:separator/>
      </w:r>
    </w:p>
  </w:footnote>
  <w:footnote w:type="continuationSeparator" w:id="0">
    <w:p w14:paraId="01E7548E" w14:textId="77777777" w:rsidR="008F02B4" w:rsidRDefault="008F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9506" w14:textId="77777777" w:rsidR="00215BCF" w:rsidRDefault="00215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107C" w14:textId="398BE02D" w:rsidR="00B55F8A" w:rsidRPr="00B55F8A" w:rsidRDefault="00000000" w:rsidP="00B55F8A">
    <w:pPr>
      <w:ind w:left="1440"/>
      <w:rPr>
        <w:rFonts w:eastAsia="Calibri" w:cs="Calibri"/>
        <w:b/>
        <w:bCs/>
        <w:noProof/>
        <w:sz w:val="28"/>
        <w:szCs w:val="18"/>
      </w:rPr>
    </w:pPr>
    <w:sdt>
      <w:sdtPr>
        <w:rPr>
          <w:rFonts w:eastAsia="Calibri" w:cs="Calibri"/>
          <w:b/>
          <w:bCs/>
          <w:noProof/>
          <w:sz w:val="28"/>
          <w:szCs w:val="18"/>
        </w:rPr>
        <w:id w:val="-30352648"/>
        <w:docPartObj>
          <w:docPartGallery w:val="Watermarks"/>
          <w:docPartUnique/>
        </w:docPartObj>
      </w:sdtPr>
      <w:sdtContent>
        <w:r>
          <w:rPr>
            <w:rFonts w:eastAsia="Calibri" w:cs="Calibri"/>
            <w:b/>
            <w:bCs/>
            <w:noProof/>
            <w:sz w:val="28"/>
            <w:szCs w:val="18"/>
          </w:rPr>
          <w:pict w14:anchorId="522C5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1045">
      <w:rPr>
        <w:noProof/>
      </w:rPr>
      <mc:AlternateContent>
        <mc:Choice Requires="wps">
          <w:drawing>
            <wp:anchor distT="0" distB="0" distL="114300" distR="114300" simplePos="0" relativeHeight="251657216" behindDoc="0" locked="0" layoutInCell="1" allowOverlap="1" wp14:anchorId="6C9789DE" wp14:editId="6A722F42">
              <wp:simplePos x="0" y="0"/>
              <wp:positionH relativeFrom="column">
                <wp:posOffset>0</wp:posOffset>
              </wp:positionH>
              <wp:positionV relativeFrom="paragraph">
                <wp:posOffset>0</wp:posOffset>
              </wp:positionV>
              <wp:extent cx="904875" cy="786765"/>
              <wp:effectExtent l="0" t="0" r="0" b="0"/>
              <wp:wrapSquare wrapText="bothSides"/>
              <wp:docPr id="2074922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786765"/>
                      </a:xfrm>
                      <a:prstGeom prst="rect">
                        <a:avLst/>
                      </a:prstGeom>
                      <a:solidFill>
                        <a:schemeClr val="lt1"/>
                      </a:solidFill>
                      <a:ln w="6350">
                        <a:noFill/>
                      </a:ln>
                    </wps:spPr>
                    <wps:txbx>
                      <w:txbxContent>
                        <w:p w14:paraId="5CD3C28B" w14:textId="77777777" w:rsidR="00B55F8A" w:rsidRDefault="00B55F8A" w:rsidP="00B55F8A">
                          <w:r>
                            <w:rPr>
                              <w:noProof/>
                            </w:rPr>
                            <w:drawing>
                              <wp:inline distT="0" distB="0" distL="0" distR="0" wp14:anchorId="48FB1943" wp14:editId="640508C3">
                                <wp:extent cx="653253" cy="786765"/>
                                <wp:effectExtent l="0" t="0" r="0" b="0"/>
                                <wp:docPr id="1302664132" name="Picture 130266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64132"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42DB3573" w14:textId="77777777" w:rsidR="00B55F8A" w:rsidRDefault="00B55F8A" w:rsidP="00B55F8A"/>
                      </w:txbxContent>
                    </wps:txbx>
                    <wps:bodyPr lIns="0" tIns="0" rIns="0" bIns="0" anchor="t"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6C9789DE" id="_x0000_t202" coordsize="21600,21600" o:spt="202" path="m,l,21600r21600,l21600,xe">
              <v:stroke joinstyle="miter"/>
              <v:path gradientshapeok="t" o:connecttype="rect"/>
            </v:shapetype>
            <v:shape id="Text Box 2" o:spid="_x0000_s1026" type="#_x0000_t202" style="position:absolute;left:0;text-align:left;margin-left:0;margin-top:0;width:71.25pt;height:6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" fillcolor="white [3201]" stroked="f" strokeweight=".5pt">
              <v:textbox inset="0,0,0,0">
                <w:txbxContent>
                  <w:p w14:paraId="5CD3C28B" w14:textId="77777777" w:rsidR="00B55F8A" w:rsidRDefault="00B55F8A" w:rsidP="00B55F8A">
                    <w:r>
                      <w:rPr>
                        <w:noProof/>
                      </w:rPr>
                      <w:drawing>
                        <wp:inline distT="0" distB="0" distL="0" distR="0" wp14:anchorId="48FB1943" wp14:editId="640508C3">
                          <wp:extent cx="653253" cy="786765"/>
                          <wp:effectExtent l="0" t="0" r="0" b="0"/>
                          <wp:docPr id="1302664132" name="Picture 130266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64132"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42DB3573" w14:textId="77777777" w:rsidR="00B55F8A" w:rsidRDefault="00B55F8A" w:rsidP="00B55F8A"/>
                </w:txbxContent>
              </v:textbox>
              <w10:wrap type="square"/>
            </v:shape>
          </w:pict>
        </mc:Fallback>
      </mc:AlternateContent>
    </w:r>
    <w:r w:rsidR="00B55F8A" w:rsidRPr="00B55F8A">
      <w:rPr>
        <w:rFonts w:eastAsia="Calibri" w:cs="Calibri"/>
        <w:b/>
        <w:bCs/>
        <w:noProof/>
        <w:sz w:val="28"/>
        <w:szCs w:val="18"/>
      </w:rPr>
      <w:t>Strategic Plan Monitoring and Implementation Committee</w:t>
    </w:r>
  </w:p>
  <w:p w14:paraId="723B313F" w14:textId="77777777" w:rsidR="00B55F8A" w:rsidRDefault="00B55F8A" w:rsidP="00B55F8A">
    <w:pPr>
      <w:ind w:left="1440"/>
      <w:rPr>
        <w:rFonts w:eastAsia="Calibri" w:cs="Calibri"/>
        <w:noProof/>
        <w:sz w:val="22"/>
      </w:rPr>
    </w:pPr>
    <w:r>
      <w:rPr>
        <w:rFonts w:eastAsia="Calibri" w:cs="Calibri"/>
        <w:noProof/>
        <w:sz w:val="22"/>
      </w:rPr>
      <w:t>University of North Florida</w:t>
    </w:r>
  </w:p>
  <w:p w14:paraId="63DD33AC" w14:textId="46C79A97" w:rsidR="00B55F8A" w:rsidRDefault="00015352" w:rsidP="00B55F8A">
    <w:pPr>
      <w:ind w:left="1440"/>
      <w:rPr>
        <w:rFonts w:eastAsia="Calibri" w:cs="Calibri"/>
        <w:noProof/>
        <w:sz w:val="22"/>
      </w:rPr>
    </w:pPr>
    <w:r>
      <w:rPr>
        <w:rFonts w:eastAsia="Calibri" w:cs="Calibri"/>
        <w:noProof/>
        <w:sz w:val="22"/>
      </w:rPr>
      <w:t>October 29, 2025 at</w:t>
    </w:r>
    <w:r w:rsidR="00B55F8A">
      <w:rPr>
        <w:rFonts w:eastAsia="Calibri" w:cs="Calibri"/>
        <w:noProof/>
        <w:sz w:val="22"/>
      </w:rPr>
      <w:t xml:space="preserve"> 9:00 AM</w:t>
    </w:r>
    <w:r>
      <w:rPr>
        <w:rFonts w:eastAsia="Calibri" w:cs="Calibri"/>
        <w:noProof/>
        <w:sz w:val="22"/>
      </w:rPr>
      <w:t xml:space="preserve"> </w:t>
    </w:r>
    <w:r w:rsidR="00B55F8A">
      <w:rPr>
        <w:rFonts w:eastAsia="Calibri" w:cs="Calibri"/>
        <w:noProof/>
        <w:sz w:val="22"/>
      </w:rPr>
      <w:t>EDT</w:t>
    </w:r>
  </w:p>
  <w:p w14:paraId="38143C01" w14:textId="10545D0E" w:rsidR="00B55F8A" w:rsidRDefault="00B55F8A" w:rsidP="00B55F8A">
    <w:pPr>
      <w:ind w:left="1440"/>
      <w:rPr>
        <w:rFonts w:eastAsia="Calibri" w:cs="Calibri"/>
        <w:noProof/>
        <w:sz w:val="22"/>
      </w:rPr>
    </w:pPr>
    <w:r>
      <w:rPr>
        <w:rFonts w:eastAsia="Calibri" w:cs="Calibri"/>
        <w:noProof/>
        <w:sz w:val="22"/>
      </w:rPr>
      <w:t>Virtual</w:t>
    </w:r>
  </w:p>
  <w:p w14:paraId="0753BD7B" w14:textId="77777777" w:rsidR="00B55F8A" w:rsidRDefault="00B55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0D62" w14:textId="77777777" w:rsidR="00215BCF" w:rsidRDefault="00215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E1A0ADA"/>
    <w:multiLevelType w:val="hybridMultilevel"/>
    <w:tmpl w:val="9656EFEA"/>
    <w:lvl w:ilvl="0" w:tplc="5EE277E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6059843">
    <w:abstractNumId w:val="0"/>
  </w:num>
  <w:num w:numId="2" w16cid:durableId="563294835">
    <w:abstractNumId w:val="1"/>
  </w:num>
  <w:num w:numId="3" w16cid:durableId="1556356752">
    <w:abstractNumId w:val="4"/>
  </w:num>
  <w:num w:numId="4" w16cid:durableId="1814522346">
    <w:abstractNumId w:val="2"/>
  </w:num>
  <w:num w:numId="5" w16cid:durableId="593779753">
    <w:abstractNumId w:val="3"/>
  </w:num>
  <w:num w:numId="6" w16cid:durableId="1472477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5352"/>
    <w:rsid w:val="00035722"/>
    <w:rsid w:val="00047551"/>
    <w:rsid w:val="0005325E"/>
    <w:rsid w:val="000640E7"/>
    <w:rsid w:val="00081B49"/>
    <w:rsid w:val="00081EAE"/>
    <w:rsid w:val="00094905"/>
    <w:rsid w:val="000C1E32"/>
    <w:rsid w:val="000D1A65"/>
    <w:rsid w:val="000F3968"/>
    <w:rsid w:val="0010015B"/>
    <w:rsid w:val="001028D2"/>
    <w:rsid w:val="001030BC"/>
    <w:rsid w:val="001122C4"/>
    <w:rsid w:val="00125092"/>
    <w:rsid w:val="00137B96"/>
    <w:rsid w:val="001425D7"/>
    <w:rsid w:val="001464DF"/>
    <w:rsid w:val="00155F1F"/>
    <w:rsid w:val="001910A0"/>
    <w:rsid w:val="001C31F2"/>
    <w:rsid w:val="001D4200"/>
    <w:rsid w:val="001E235C"/>
    <w:rsid w:val="00213897"/>
    <w:rsid w:val="00215BCF"/>
    <w:rsid w:val="00254E54"/>
    <w:rsid w:val="00261862"/>
    <w:rsid w:val="00297B5D"/>
    <w:rsid w:val="002A6B0F"/>
    <w:rsid w:val="002B4ABF"/>
    <w:rsid w:val="002C6795"/>
    <w:rsid w:val="002D08DD"/>
    <w:rsid w:val="002D21B9"/>
    <w:rsid w:val="002E1045"/>
    <w:rsid w:val="00355B8B"/>
    <w:rsid w:val="0038705E"/>
    <w:rsid w:val="003A6F99"/>
    <w:rsid w:val="003B4A63"/>
    <w:rsid w:val="003C0E51"/>
    <w:rsid w:val="00420DDE"/>
    <w:rsid w:val="004228FE"/>
    <w:rsid w:val="0045018D"/>
    <w:rsid w:val="00471EA8"/>
    <w:rsid w:val="00475485"/>
    <w:rsid w:val="004A7D4C"/>
    <w:rsid w:val="004B64AD"/>
    <w:rsid w:val="004C085C"/>
    <w:rsid w:val="004C3023"/>
    <w:rsid w:val="00516E54"/>
    <w:rsid w:val="00537E42"/>
    <w:rsid w:val="00546353"/>
    <w:rsid w:val="005938D6"/>
    <w:rsid w:val="005C5FAE"/>
    <w:rsid w:val="00606694"/>
    <w:rsid w:val="00636190"/>
    <w:rsid w:val="00643B99"/>
    <w:rsid w:val="006B0E1D"/>
    <w:rsid w:val="006D60CD"/>
    <w:rsid w:val="006E5527"/>
    <w:rsid w:val="006F1979"/>
    <w:rsid w:val="007022C3"/>
    <w:rsid w:val="00713B9F"/>
    <w:rsid w:val="007143DA"/>
    <w:rsid w:val="00796DD1"/>
    <w:rsid w:val="007E1BE6"/>
    <w:rsid w:val="00802130"/>
    <w:rsid w:val="008062CD"/>
    <w:rsid w:val="008319D5"/>
    <w:rsid w:val="00874C8B"/>
    <w:rsid w:val="008D5095"/>
    <w:rsid w:val="008E2CB0"/>
    <w:rsid w:val="008F02B4"/>
    <w:rsid w:val="009272AE"/>
    <w:rsid w:val="009301C5"/>
    <w:rsid w:val="00933DC2"/>
    <w:rsid w:val="0093728B"/>
    <w:rsid w:val="00944F1E"/>
    <w:rsid w:val="00953327"/>
    <w:rsid w:val="00982173"/>
    <w:rsid w:val="009A2482"/>
    <w:rsid w:val="009A43F3"/>
    <w:rsid w:val="009B7C3D"/>
    <w:rsid w:val="009F6676"/>
    <w:rsid w:val="009F6CFC"/>
    <w:rsid w:val="00A075A1"/>
    <w:rsid w:val="00A13F05"/>
    <w:rsid w:val="00A142F1"/>
    <w:rsid w:val="00A20C2F"/>
    <w:rsid w:val="00A24B72"/>
    <w:rsid w:val="00A7796A"/>
    <w:rsid w:val="00A77B3E"/>
    <w:rsid w:val="00A936C6"/>
    <w:rsid w:val="00AB5A75"/>
    <w:rsid w:val="00AB5AF0"/>
    <w:rsid w:val="00AE356B"/>
    <w:rsid w:val="00AE726A"/>
    <w:rsid w:val="00B03A14"/>
    <w:rsid w:val="00B40DCE"/>
    <w:rsid w:val="00B55F8A"/>
    <w:rsid w:val="00B72F2F"/>
    <w:rsid w:val="00B736CD"/>
    <w:rsid w:val="00B92B4E"/>
    <w:rsid w:val="00BB64B0"/>
    <w:rsid w:val="00C019A5"/>
    <w:rsid w:val="00C13216"/>
    <w:rsid w:val="00C26C23"/>
    <w:rsid w:val="00C43D84"/>
    <w:rsid w:val="00C81057"/>
    <w:rsid w:val="00CA2A55"/>
    <w:rsid w:val="00CC46D6"/>
    <w:rsid w:val="00CD6CB8"/>
    <w:rsid w:val="00CF4AFD"/>
    <w:rsid w:val="00CF797F"/>
    <w:rsid w:val="00D172C0"/>
    <w:rsid w:val="00D42DA9"/>
    <w:rsid w:val="00D54D4B"/>
    <w:rsid w:val="00D76982"/>
    <w:rsid w:val="00D779F1"/>
    <w:rsid w:val="00D80859"/>
    <w:rsid w:val="00D839F6"/>
    <w:rsid w:val="00DA43C3"/>
    <w:rsid w:val="00DA446A"/>
    <w:rsid w:val="00DB5B2C"/>
    <w:rsid w:val="00DB6192"/>
    <w:rsid w:val="00DC46D2"/>
    <w:rsid w:val="00DD02C7"/>
    <w:rsid w:val="00DD2229"/>
    <w:rsid w:val="00DD77F2"/>
    <w:rsid w:val="00E25DC2"/>
    <w:rsid w:val="00E40851"/>
    <w:rsid w:val="00E61F54"/>
    <w:rsid w:val="00E74AD6"/>
    <w:rsid w:val="00E9192A"/>
    <w:rsid w:val="00EB0415"/>
    <w:rsid w:val="00EC5A37"/>
    <w:rsid w:val="00F0459F"/>
    <w:rsid w:val="00F05BE9"/>
    <w:rsid w:val="00F17434"/>
    <w:rsid w:val="00F35161"/>
    <w:rsid w:val="00F37748"/>
    <w:rsid w:val="00F94539"/>
    <w:rsid w:val="00F96FAB"/>
    <w:rsid w:val="00FB34B5"/>
    <w:rsid w:val="00FD0B3E"/>
    <w:rsid w:val="00FF0DE7"/>
    <w:rsid w:val="00FF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53AE7"/>
  <w15:docId w15:val="{8A90C0D1-6DE9-40DF-996D-25222F34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722"/>
    <w:rPr>
      <w:rFonts w:ascii="Calibri" w:hAnsi="Calibri"/>
      <w:sz w:val="24"/>
      <w:szCs w:val="24"/>
    </w:rPr>
  </w:style>
  <w:style w:type="paragraph" w:styleId="Heading1">
    <w:name w:val="heading 1"/>
    <w:basedOn w:val="Normal"/>
    <w:next w:val="Normal"/>
    <w:link w:val="Heading1Char"/>
    <w:qFormat/>
    <w:rsid w:val="00035722"/>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035722"/>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035722"/>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035722"/>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unhideWhenUsed/>
    <w:rsid w:val="000357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5722"/>
  </w:style>
  <w:style w:type="character" w:styleId="Hyperlink">
    <w:name w:val="Hyperlink"/>
    <w:basedOn w:val="DefaultParagraphFont"/>
    <w:rsid w:val="00EF7B96"/>
    <w:rPr>
      <w:color w:val="0563C1"/>
      <w:u w:val="single"/>
    </w:rPr>
  </w:style>
  <w:style w:type="paragraph" w:customStyle="1" w:styleId="container">
    <w:name w:val="container"/>
    <w:basedOn w:val="Normal"/>
    <w:rsid w:val="00035722"/>
    <w:rPr>
      <w:rFonts w:eastAsia="Calibri" w:cs="Calibri"/>
      <w:color w:val="7B7B89"/>
    </w:rPr>
  </w:style>
  <w:style w:type="paragraph" w:customStyle="1" w:styleId="p">
    <w:name w:val="p"/>
    <w:basedOn w:val="Normal"/>
    <w:rsid w:val="00035722"/>
  </w:style>
  <w:style w:type="paragraph" w:styleId="Header">
    <w:name w:val="header"/>
    <w:basedOn w:val="Normal"/>
    <w:link w:val="HeaderChar"/>
    <w:rsid w:val="00035722"/>
    <w:pPr>
      <w:tabs>
        <w:tab w:val="center" w:pos="4680"/>
        <w:tab w:val="right" w:pos="9360"/>
      </w:tabs>
    </w:pPr>
  </w:style>
  <w:style w:type="character" w:customStyle="1" w:styleId="HeaderChar">
    <w:name w:val="Header Char"/>
    <w:basedOn w:val="DefaultParagraphFont"/>
    <w:link w:val="Header"/>
    <w:rsid w:val="00035722"/>
    <w:rPr>
      <w:rFonts w:ascii="Calibri" w:hAnsi="Calibri"/>
      <w:sz w:val="24"/>
      <w:szCs w:val="24"/>
    </w:rPr>
  </w:style>
  <w:style w:type="paragraph" w:styleId="Footer">
    <w:name w:val="footer"/>
    <w:basedOn w:val="Normal"/>
    <w:link w:val="FooterChar"/>
    <w:rsid w:val="00035722"/>
    <w:pPr>
      <w:tabs>
        <w:tab w:val="center" w:pos="4680"/>
        <w:tab w:val="right" w:pos="9360"/>
      </w:tabs>
    </w:pPr>
  </w:style>
  <w:style w:type="character" w:customStyle="1" w:styleId="FooterChar">
    <w:name w:val="Footer Char"/>
    <w:basedOn w:val="DefaultParagraphFont"/>
    <w:link w:val="Footer"/>
    <w:rsid w:val="00035722"/>
    <w:rPr>
      <w:rFonts w:ascii="Calibri" w:hAnsi="Calibri"/>
      <w:sz w:val="24"/>
      <w:szCs w:val="24"/>
    </w:rPr>
  </w:style>
  <w:style w:type="character" w:customStyle="1" w:styleId="Heading1Char">
    <w:name w:val="Heading 1 Char"/>
    <w:basedOn w:val="DefaultParagraphFont"/>
    <w:link w:val="Heading1"/>
    <w:rsid w:val="00035722"/>
    <w:rPr>
      <w:rFonts w:ascii="Calibri" w:eastAsia="Calibri" w:hAnsi="Calibri" w:cs="Calibri"/>
      <w:b/>
      <w:sz w:val="28"/>
      <w:szCs w:val="24"/>
    </w:rPr>
  </w:style>
  <w:style w:type="character" w:customStyle="1" w:styleId="Heading2Char">
    <w:name w:val="Heading 2 Char"/>
    <w:basedOn w:val="DefaultParagraphFont"/>
    <w:link w:val="Heading2"/>
    <w:rsid w:val="00035722"/>
    <w:rPr>
      <w:rFonts w:ascii="Calibri" w:eastAsia="Calibri" w:hAnsi="Calibri" w:cs="Calibri"/>
      <w:b/>
      <w:noProof/>
      <w:sz w:val="24"/>
      <w:szCs w:val="24"/>
    </w:rPr>
  </w:style>
  <w:style w:type="character" w:customStyle="1" w:styleId="Heading3Char">
    <w:name w:val="Heading 3 Char"/>
    <w:basedOn w:val="DefaultParagraphFont"/>
    <w:link w:val="Heading3"/>
    <w:rsid w:val="00035722"/>
    <w:rPr>
      <w:rFonts w:ascii="Calibri" w:eastAsia="Calibri" w:hAnsi="Calibri" w:cs="Calibri"/>
      <w:b/>
      <w:sz w:val="24"/>
      <w:szCs w:val="24"/>
    </w:rPr>
  </w:style>
  <w:style w:type="character" w:customStyle="1" w:styleId="Heading4Char">
    <w:name w:val="Heading 4 Char"/>
    <w:link w:val="Heading4"/>
    <w:rsid w:val="00035722"/>
    <w:rPr>
      <w:rFonts w:ascii="Calibri" w:eastAsia="Calibri"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311">
      <w:bodyDiv w:val="1"/>
      <w:marLeft w:val="0"/>
      <w:marRight w:val="0"/>
      <w:marTop w:val="0"/>
      <w:marBottom w:val="0"/>
      <w:divBdr>
        <w:top w:val="none" w:sz="0" w:space="0" w:color="auto"/>
        <w:left w:val="none" w:sz="0" w:space="0" w:color="auto"/>
        <w:bottom w:val="none" w:sz="0" w:space="0" w:color="auto"/>
        <w:right w:val="none" w:sz="0" w:space="0" w:color="auto"/>
      </w:divBdr>
    </w:div>
    <w:div w:id="53509941">
      <w:bodyDiv w:val="1"/>
      <w:marLeft w:val="0"/>
      <w:marRight w:val="0"/>
      <w:marTop w:val="0"/>
      <w:marBottom w:val="0"/>
      <w:divBdr>
        <w:top w:val="none" w:sz="0" w:space="0" w:color="auto"/>
        <w:left w:val="none" w:sz="0" w:space="0" w:color="auto"/>
        <w:bottom w:val="none" w:sz="0" w:space="0" w:color="auto"/>
        <w:right w:val="none" w:sz="0" w:space="0" w:color="auto"/>
      </w:divBdr>
    </w:div>
    <w:div w:id="296372584">
      <w:bodyDiv w:val="1"/>
      <w:marLeft w:val="0"/>
      <w:marRight w:val="0"/>
      <w:marTop w:val="0"/>
      <w:marBottom w:val="0"/>
      <w:divBdr>
        <w:top w:val="none" w:sz="0" w:space="0" w:color="auto"/>
        <w:left w:val="none" w:sz="0" w:space="0" w:color="auto"/>
        <w:bottom w:val="none" w:sz="0" w:space="0" w:color="auto"/>
        <w:right w:val="none" w:sz="0" w:space="0" w:color="auto"/>
      </w:divBdr>
    </w:div>
    <w:div w:id="446124996">
      <w:bodyDiv w:val="1"/>
      <w:marLeft w:val="0"/>
      <w:marRight w:val="0"/>
      <w:marTop w:val="0"/>
      <w:marBottom w:val="0"/>
      <w:divBdr>
        <w:top w:val="none" w:sz="0" w:space="0" w:color="auto"/>
        <w:left w:val="none" w:sz="0" w:space="0" w:color="auto"/>
        <w:bottom w:val="none" w:sz="0" w:space="0" w:color="auto"/>
        <w:right w:val="none" w:sz="0" w:space="0" w:color="auto"/>
      </w:divBdr>
    </w:div>
    <w:div w:id="603809583">
      <w:bodyDiv w:val="1"/>
      <w:marLeft w:val="0"/>
      <w:marRight w:val="0"/>
      <w:marTop w:val="0"/>
      <w:marBottom w:val="0"/>
      <w:divBdr>
        <w:top w:val="none" w:sz="0" w:space="0" w:color="auto"/>
        <w:left w:val="none" w:sz="0" w:space="0" w:color="auto"/>
        <w:bottom w:val="none" w:sz="0" w:space="0" w:color="auto"/>
        <w:right w:val="none" w:sz="0" w:space="0" w:color="auto"/>
      </w:divBdr>
    </w:div>
    <w:div w:id="935793827">
      <w:bodyDiv w:val="1"/>
      <w:marLeft w:val="0"/>
      <w:marRight w:val="0"/>
      <w:marTop w:val="0"/>
      <w:marBottom w:val="0"/>
      <w:divBdr>
        <w:top w:val="none" w:sz="0" w:space="0" w:color="auto"/>
        <w:left w:val="none" w:sz="0" w:space="0" w:color="auto"/>
        <w:bottom w:val="none" w:sz="0" w:space="0" w:color="auto"/>
        <w:right w:val="none" w:sz="0" w:space="0" w:color="auto"/>
      </w:divBdr>
    </w:div>
    <w:div w:id="1008558245">
      <w:bodyDiv w:val="1"/>
      <w:marLeft w:val="0"/>
      <w:marRight w:val="0"/>
      <w:marTop w:val="0"/>
      <w:marBottom w:val="0"/>
      <w:divBdr>
        <w:top w:val="none" w:sz="0" w:space="0" w:color="auto"/>
        <w:left w:val="none" w:sz="0" w:space="0" w:color="auto"/>
        <w:bottom w:val="none" w:sz="0" w:space="0" w:color="auto"/>
        <w:right w:val="none" w:sz="0" w:space="0" w:color="auto"/>
      </w:divBdr>
    </w:div>
    <w:div w:id="1016537686">
      <w:bodyDiv w:val="1"/>
      <w:marLeft w:val="0"/>
      <w:marRight w:val="0"/>
      <w:marTop w:val="0"/>
      <w:marBottom w:val="0"/>
      <w:divBdr>
        <w:top w:val="none" w:sz="0" w:space="0" w:color="auto"/>
        <w:left w:val="none" w:sz="0" w:space="0" w:color="auto"/>
        <w:bottom w:val="none" w:sz="0" w:space="0" w:color="auto"/>
        <w:right w:val="none" w:sz="0" w:space="0" w:color="auto"/>
      </w:divBdr>
    </w:div>
    <w:div w:id="1021248701">
      <w:bodyDiv w:val="1"/>
      <w:marLeft w:val="0"/>
      <w:marRight w:val="0"/>
      <w:marTop w:val="0"/>
      <w:marBottom w:val="0"/>
      <w:divBdr>
        <w:top w:val="none" w:sz="0" w:space="0" w:color="auto"/>
        <w:left w:val="none" w:sz="0" w:space="0" w:color="auto"/>
        <w:bottom w:val="none" w:sz="0" w:space="0" w:color="auto"/>
        <w:right w:val="none" w:sz="0" w:space="0" w:color="auto"/>
      </w:divBdr>
    </w:div>
    <w:div w:id="1117217010">
      <w:bodyDiv w:val="1"/>
      <w:marLeft w:val="0"/>
      <w:marRight w:val="0"/>
      <w:marTop w:val="0"/>
      <w:marBottom w:val="0"/>
      <w:divBdr>
        <w:top w:val="none" w:sz="0" w:space="0" w:color="auto"/>
        <w:left w:val="none" w:sz="0" w:space="0" w:color="auto"/>
        <w:bottom w:val="none" w:sz="0" w:space="0" w:color="auto"/>
        <w:right w:val="none" w:sz="0" w:space="0" w:color="auto"/>
      </w:divBdr>
    </w:div>
    <w:div w:id="1341934028">
      <w:bodyDiv w:val="1"/>
      <w:marLeft w:val="0"/>
      <w:marRight w:val="0"/>
      <w:marTop w:val="0"/>
      <w:marBottom w:val="0"/>
      <w:divBdr>
        <w:top w:val="none" w:sz="0" w:space="0" w:color="auto"/>
        <w:left w:val="none" w:sz="0" w:space="0" w:color="auto"/>
        <w:bottom w:val="none" w:sz="0" w:space="0" w:color="auto"/>
        <w:right w:val="none" w:sz="0" w:space="0" w:color="auto"/>
      </w:divBdr>
    </w:div>
    <w:div w:id="1422024662">
      <w:bodyDiv w:val="1"/>
      <w:marLeft w:val="0"/>
      <w:marRight w:val="0"/>
      <w:marTop w:val="0"/>
      <w:marBottom w:val="0"/>
      <w:divBdr>
        <w:top w:val="none" w:sz="0" w:space="0" w:color="auto"/>
        <w:left w:val="none" w:sz="0" w:space="0" w:color="auto"/>
        <w:bottom w:val="none" w:sz="0" w:space="0" w:color="auto"/>
        <w:right w:val="none" w:sz="0" w:space="0" w:color="auto"/>
      </w:divBdr>
    </w:div>
    <w:div w:id="1551114314">
      <w:bodyDiv w:val="1"/>
      <w:marLeft w:val="0"/>
      <w:marRight w:val="0"/>
      <w:marTop w:val="0"/>
      <w:marBottom w:val="0"/>
      <w:divBdr>
        <w:top w:val="none" w:sz="0" w:space="0" w:color="auto"/>
        <w:left w:val="none" w:sz="0" w:space="0" w:color="auto"/>
        <w:bottom w:val="none" w:sz="0" w:space="0" w:color="auto"/>
        <w:right w:val="none" w:sz="0" w:space="0" w:color="auto"/>
      </w:divBdr>
    </w:div>
    <w:div w:id="1621640822">
      <w:bodyDiv w:val="1"/>
      <w:marLeft w:val="0"/>
      <w:marRight w:val="0"/>
      <w:marTop w:val="0"/>
      <w:marBottom w:val="0"/>
      <w:divBdr>
        <w:top w:val="none" w:sz="0" w:space="0" w:color="auto"/>
        <w:left w:val="none" w:sz="0" w:space="0" w:color="auto"/>
        <w:bottom w:val="none" w:sz="0" w:space="0" w:color="auto"/>
        <w:right w:val="none" w:sz="0" w:space="0" w:color="auto"/>
      </w:divBdr>
    </w:div>
    <w:div w:id="1727560407">
      <w:bodyDiv w:val="1"/>
      <w:marLeft w:val="0"/>
      <w:marRight w:val="0"/>
      <w:marTop w:val="0"/>
      <w:marBottom w:val="0"/>
      <w:divBdr>
        <w:top w:val="none" w:sz="0" w:space="0" w:color="auto"/>
        <w:left w:val="none" w:sz="0" w:space="0" w:color="auto"/>
        <w:bottom w:val="none" w:sz="0" w:space="0" w:color="auto"/>
        <w:right w:val="none" w:sz="0" w:space="0" w:color="auto"/>
      </w:divBdr>
    </w:div>
    <w:div w:id="1806774534">
      <w:bodyDiv w:val="1"/>
      <w:marLeft w:val="0"/>
      <w:marRight w:val="0"/>
      <w:marTop w:val="0"/>
      <w:marBottom w:val="0"/>
      <w:divBdr>
        <w:top w:val="none" w:sz="0" w:space="0" w:color="auto"/>
        <w:left w:val="none" w:sz="0" w:space="0" w:color="auto"/>
        <w:bottom w:val="none" w:sz="0" w:space="0" w:color="auto"/>
        <w:right w:val="none" w:sz="0" w:space="0" w:color="auto"/>
      </w:divBdr>
    </w:div>
    <w:div w:id="1941600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caa7289731af19e095f0d8eff36299ac">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cf31af702cf0954a8fdccf94e7a49bf9"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4DAB2-D64A-4C3E-9165-A8AAE5EAD68A}">
  <ds:schemaRefs>
    <ds:schemaRef ds:uri="http://schemas.microsoft.com/sharepoint/v3/contenttype/forms"/>
  </ds:schemaRefs>
</ds:datastoreItem>
</file>

<file path=customXml/itemProps2.xml><?xml version="1.0" encoding="utf-8"?>
<ds:datastoreItem xmlns:ds="http://schemas.openxmlformats.org/officeDocument/2006/customXml" ds:itemID="{4B05BBED-12C6-4DD6-B570-D59341E9E761}">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3.xml><?xml version="1.0" encoding="utf-8"?>
<ds:datastoreItem xmlns:ds="http://schemas.openxmlformats.org/officeDocument/2006/customXml" ds:itemID="{CFE37BF0-B37C-4C1A-9A20-8B801A242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7</TotalTime>
  <Pages>7</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Knopp, Raygan</dc:creator>
  <cp:lastModifiedBy>Knopp, Raygan</cp:lastModifiedBy>
  <cp:revision>6</cp:revision>
  <dcterms:created xsi:type="dcterms:W3CDTF">2025-11-12T20:41:00Z</dcterms:created>
  <dcterms:modified xsi:type="dcterms:W3CDTF">2025-11-12T23:24:00Z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