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0079" w14:textId="41DCFD1B" w:rsidR="00766254" w:rsidRDefault="005D320A" w:rsidP="005D320A">
      <w:pPr>
        <w:jc w:val="center"/>
        <w:rPr>
          <w:rFonts w:ascii="Book Antiqua" w:hAnsi="Book Antiqua"/>
          <w:b/>
          <w:bCs/>
        </w:rPr>
      </w:pPr>
      <w:r w:rsidRPr="005D320A">
        <w:rPr>
          <w:rFonts w:ascii="Book Antiqua" w:hAnsi="Book Antiqua"/>
          <w:b/>
          <w:bCs/>
        </w:rPr>
        <w:t>MINUTES</w:t>
      </w:r>
    </w:p>
    <w:p w14:paraId="36949ACC" w14:textId="65013661" w:rsidR="005D320A" w:rsidRPr="005D320A" w:rsidRDefault="005D320A" w:rsidP="005D320A">
      <w:pPr>
        <w:spacing w:after="0" w:line="240" w:lineRule="auto"/>
        <w:rPr>
          <w:rFonts w:ascii="Book Antiqua" w:hAnsi="Book Antiqua"/>
        </w:rPr>
      </w:pPr>
      <w:r w:rsidRPr="005D320A">
        <w:rPr>
          <w:rFonts w:ascii="Book Antiqua" w:hAnsi="Book Antiqua"/>
          <w:b/>
          <w:bCs/>
        </w:rPr>
        <w:t xml:space="preserve">Trustees Present: </w:t>
      </w:r>
      <w:r w:rsidRPr="005D320A">
        <w:rPr>
          <w:rFonts w:ascii="Book Antiqua" w:hAnsi="Book Antiqua"/>
        </w:rPr>
        <w:t>Annie Egan (Chair), Mike Binder, John Grosso, Steve Moore, Kevin Hyde</w:t>
      </w:r>
    </w:p>
    <w:p w14:paraId="7E035AF3" w14:textId="77777777" w:rsidR="005D320A" w:rsidRPr="005D320A" w:rsidRDefault="005D320A" w:rsidP="005D320A">
      <w:pPr>
        <w:spacing w:after="0" w:line="240" w:lineRule="auto"/>
        <w:rPr>
          <w:rFonts w:ascii="Book Antiqua" w:hAnsi="Book Antiqua"/>
          <w:b/>
          <w:bCs/>
        </w:rPr>
      </w:pPr>
    </w:p>
    <w:p w14:paraId="61C50A1F" w14:textId="35B3F971" w:rsidR="005D320A" w:rsidRPr="005D320A" w:rsidRDefault="005D320A" w:rsidP="005D320A">
      <w:pPr>
        <w:spacing w:after="0" w:line="240" w:lineRule="auto"/>
        <w:rPr>
          <w:rFonts w:ascii="Book Antiqua" w:hAnsi="Book Antiqua"/>
          <w:b/>
          <w:bCs/>
        </w:rPr>
      </w:pPr>
      <w:r w:rsidRPr="005D320A">
        <w:rPr>
          <w:rFonts w:ascii="Book Antiqua" w:hAnsi="Book Antiqua"/>
          <w:b/>
          <w:bCs/>
        </w:rPr>
        <w:t xml:space="preserve">Trustees Absent: </w:t>
      </w:r>
      <w:r w:rsidRPr="005D320A">
        <w:rPr>
          <w:rFonts w:ascii="Book Antiqua" w:hAnsi="Book Antiqua"/>
        </w:rPr>
        <w:t>Allison Korman Shelton, Chris Lazzara</w:t>
      </w:r>
      <w:r>
        <w:rPr>
          <w:rFonts w:ascii="Book Antiqua" w:hAnsi="Book Antiqua"/>
        </w:rPr>
        <w:t>, Jason Barrett</w:t>
      </w:r>
    </w:p>
    <w:p w14:paraId="55E6C595" w14:textId="77777777" w:rsidR="005D320A" w:rsidRDefault="005D320A" w:rsidP="005D320A">
      <w:pPr>
        <w:jc w:val="center"/>
        <w:rPr>
          <w:rFonts w:ascii="Book Antiqua" w:hAnsi="Book Antiqua"/>
          <w:b/>
          <w:bCs/>
        </w:rPr>
      </w:pPr>
    </w:p>
    <w:p w14:paraId="60EDEA0C"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 xml:space="preserve">Item 1 </w:t>
      </w:r>
      <w:r w:rsidRPr="005D320A">
        <w:rPr>
          <w:rFonts w:ascii="Book Antiqua" w:hAnsi="Book Antiqua"/>
          <w:b/>
          <w:bCs/>
        </w:rPr>
        <w:tab/>
        <w:t>Call to Order</w:t>
      </w:r>
    </w:p>
    <w:p w14:paraId="2238BB89" w14:textId="04048D63" w:rsidR="005D320A" w:rsidRPr="005D320A" w:rsidRDefault="005D320A" w:rsidP="005D320A">
      <w:pPr>
        <w:spacing w:after="0" w:line="240" w:lineRule="auto"/>
        <w:ind w:left="1440" w:hanging="1440"/>
        <w:rPr>
          <w:rFonts w:ascii="Book Antiqua" w:hAnsi="Book Antiqua"/>
        </w:rPr>
      </w:pPr>
      <w:r w:rsidRPr="005D320A">
        <w:rPr>
          <w:rFonts w:ascii="Book Antiqua" w:hAnsi="Book Antiqua"/>
        </w:rPr>
        <w:tab/>
        <w:t xml:space="preserve">Chair Egan </w:t>
      </w:r>
      <w:r>
        <w:rPr>
          <w:rFonts w:ascii="Book Antiqua" w:hAnsi="Book Antiqua"/>
        </w:rPr>
        <w:t>recognized a quorum and</w:t>
      </w:r>
      <w:r w:rsidRPr="005D320A">
        <w:rPr>
          <w:rFonts w:ascii="Book Antiqua" w:hAnsi="Book Antiqua"/>
        </w:rPr>
        <w:t xml:space="preserve"> </w:t>
      </w:r>
      <w:r>
        <w:rPr>
          <w:rFonts w:ascii="Book Antiqua" w:hAnsi="Book Antiqua"/>
        </w:rPr>
        <w:t>called the meeting to order at 12:01 p.m.</w:t>
      </w:r>
    </w:p>
    <w:p w14:paraId="757F33D5" w14:textId="77777777" w:rsidR="005D320A" w:rsidRPr="005D320A" w:rsidRDefault="005D320A" w:rsidP="005D320A">
      <w:pPr>
        <w:spacing w:after="0" w:line="240" w:lineRule="auto"/>
        <w:ind w:left="1440" w:hanging="1440"/>
        <w:rPr>
          <w:rFonts w:ascii="Book Antiqua" w:hAnsi="Book Antiqua"/>
        </w:rPr>
      </w:pPr>
    </w:p>
    <w:p w14:paraId="2BF47402"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2</w:t>
      </w:r>
      <w:r w:rsidRPr="005D320A">
        <w:rPr>
          <w:rFonts w:ascii="Book Antiqua" w:hAnsi="Book Antiqua"/>
          <w:b/>
          <w:bCs/>
        </w:rPr>
        <w:tab/>
        <w:t xml:space="preserve">Public Comment </w:t>
      </w:r>
    </w:p>
    <w:p w14:paraId="5C132D7E" w14:textId="672DA1C7" w:rsidR="005D320A" w:rsidRPr="005D320A" w:rsidRDefault="005D320A" w:rsidP="005D320A">
      <w:pPr>
        <w:spacing w:after="0" w:line="240" w:lineRule="auto"/>
        <w:ind w:left="1440"/>
        <w:rPr>
          <w:rFonts w:ascii="Book Antiqua" w:hAnsi="Book Antiqua"/>
        </w:rPr>
      </w:pPr>
      <w:r>
        <w:rPr>
          <w:rFonts w:ascii="Book Antiqua" w:hAnsi="Book Antiqua"/>
        </w:rPr>
        <w:t>There were no requests for public comment.</w:t>
      </w:r>
    </w:p>
    <w:p w14:paraId="66C52086" w14:textId="77777777" w:rsidR="005D320A" w:rsidRPr="005D320A" w:rsidRDefault="005D320A" w:rsidP="005D320A">
      <w:pPr>
        <w:spacing w:after="0" w:line="240" w:lineRule="auto"/>
        <w:ind w:left="1440"/>
        <w:rPr>
          <w:rFonts w:ascii="Book Antiqua" w:hAnsi="Book Antiqua"/>
        </w:rPr>
      </w:pPr>
    </w:p>
    <w:p w14:paraId="337DA825" w14:textId="77777777" w:rsidR="005D320A" w:rsidRPr="005D320A" w:rsidRDefault="005D320A" w:rsidP="005D320A">
      <w:pPr>
        <w:spacing w:after="0" w:line="240" w:lineRule="auto"/>
        <w:ind w:left="1440" w:hanging="1440"/>
        <w:outlineLvl w:val="1"/>
        <w:rPr>
          <w:rFonts w:ascii="Book Antiqua" w:hAnsi="Book Antiqua"/>
          <w:b/>
          <w:bCs/>
        </w:rPr>
      </w:pPr>
      <w:bookmarkStart w:id="0" w:name="_Hlk143515011"/>
      <w:r w:rsidRPr="005D320A">
        <w:rPr>
          <w:rFonts w:ascii="Book Antiqua" w:hAnsi="Book Antiqua"/>
          <w:b/>
          <w:bCs/>
        </w:rPr>
        <w:t xml:space="preserve">Item 3 </w:t>
      </w:r>
      <w:r w:rsidRPr="005D320A">
        <w:rPr>
          <w:rFonts w:ascii="Book Antiqua" w:hAnsi="Book Antiqua"/>
          <w:b/>
          <w:bCs/>
        </w:rPr>
        <w:tab/>
        <w:t>Consent Agenda</w:t>
      </w:r>
    </w:p>
    <w:p w14:paraId="76A869C1" w14:textId="77777777" w:rsidR="005D320A" w:rsidRPr="005D320A" w:rsidRDefault="005D320A" w:rsidP="00372D0B">
      <w:pPr>
        <w:spacing w:after="0" w:line="480" w:lineRule="auto"/>
        <w:ind w:left="1440"/>
        <w:contextualSpacing/>
        <w:rPr>
          <w:rFonts w:ascii="Book Antiqua" w:hAnsi="Book Antiqua"/>
        </w:rPr>
      </w:pPr>
      <w:r w:rsidRPr="005D320A">
        <w:rPr>
          <w:rFonts w:ascii="Book Antiqua" w:hAnsi="Book Antiqua"/>
        </w:rPr>
        <w:t>-Draft June 1, 2023, Academic and Student Affairs Committee Meeting Minutes</w:t>
      </w:r>
    </w:p>
    <w:p w14:paraId="332368E1" w14:textId="458F60F8" w:rsidR="005D320A" w:rsidRDefault="005D320A" w:rsidP="005D320A">
      <w:pPr>
        <w:shd w:val="clear" w:color="auto" w:fill="FFFFFF" w:themeFill="background1"/>
        <w:spacing w:after="0" w:line="240" w:lineRule="auto"/>
        <w:ind w:left="1440"/>
        <w:rPr>
          <w:rFonts w:ascii="Book Antiqua" w:hAnsi="Book Antiqua"/>
        </w:rPr>
      </w:pPr>
      <w:r w:rsidRPr="005D320A">
        <w:rPr>
          <w:rFonts w:ascii="Book Antiqua" w:hAnsi="Book Antiqua"/>
        </w:rPr>
        <w:t xml:space="preserve">Chair Egan asked for a MOTION to approve the Draft </w:t>
      </w:r>
      <w:r>
        <w:rPr>
          <w:rFonts w:ascii="Book Antiqua" w:hAnsi="Book Antiqua"/>
        </w:rPr>
        <w:t>June 1</w:t>
      </w:r>
      <w:r w:rsidRPr="005D320A">
        <w:rPr>
          <w:rFonts w:ascii="Book Antiqua" w:hAnsi="Book Antiqua"/>
        </w:rPr>
        <w:t xml:space="preserve">, 2023 meeting minutes. </w:t>
      </w:r>
      <w:r>
        <w:rPr>
          <w:rFonts w:ascii="Book Antiqua" w:hAnsi="Book Antiqua"/>
        </w:rPr>
        <w:t>Chair</w:t>
      </w:r>
      <w:r w:rsidRPr="005D320A">
        <w:rPr>
          <w:rFonts w:ascii="Book Antiqua" w:hAnsi="Book Antiqua"/>
        </w:rPr>
        <w:t xml:space="preserve"> </w:t>
      </w:r>
      <w:r>
        <w:rPr>
          <w:rFonts w:ascii="Book Antiqua" w:hAnsi="Book Antiqua"/>
        </w:rPr>
        <w:t xml:space="preserve">Hyde </w:t>
      </w:r>
      <w:r w:rsidRPr="005D320A">
        <w:rPr>
          <w:rFonts w:ascii="Book Antiqua" w:hAnsi="Book Antiqua"/>
        </w:rPr>
        <w:t xml:space="preserve">made a MOTION to APPROVE, and Trustee </w:t>
      </w:r>
      <w:r>
        <w:rPr>
          <w:rFonts w:ascii="Book Antiqua" w:hAnsi="Book Antiqua"/>
        </w:rPr>
        <w:t xml:space="preserve">Binder </w:t>
      </w:r>
      <w:r w:rsidRPr="005D320A">
        <w:rPr>
          <w:rFonts w:ascii="Book Antiqua" w:hAnsi="Book Antiqua"/>
        </w:rPr>
        <w:t>SECONDED. The committee unanimously approved the draft minutes.</w:t>
      </w:r>
    </w:p>
    <w:p w14:paraId="5F5463F9" w14:textId="77777777" w:rsidR="005D320A" w:rsidRPr="005D320A" w:rsidRDefault="005D320A" w:rsidP="005D320A">
      <w:pPr>
        <w:shd w:val="clear" w:color="auto" w:fill="FFFFFF" w:themeFill="background1"/>
        <w:spacing w:after="0" w:line="240" w:lineRule="auto"/>
        <w:ind w:left="1440"/>
        <w:rPr>
          <w:rFonts w:ascii="Book Antiqua" w:hAnsi="Book Antiqua"/>
        </w:rPr>
      </w:pPr>
    </w:p>
    <w:p w14:paraId="3BFFDFD5" w14:textId="05245364" w:rsidR="005D320A" w:rsidRPr="005D320A" w:rsidRDefault="005D320A" w:rsidP="00A542A2">
      <w:pPr>
        <w:spacing w:after="0" w:line="240" w:lineRule="auto"/>
        <w:ind w:left="1440" w:hanging="1440"/>
        <w:outlineLvl w:val="1"/>
        <w:rPr>
          <w:rFonts w:ascii="Book Antiqua" w:hAnsi="Book Antiqua"/>
          <w:b/>
          <w:bCs/>
        </w:rPr>
      </w:pPr>
      <w:r w:rsidRPr="005D320A">
        <w:rPr>
          <w:rFonts w:ascii="Book Antiqua" w:hAnsi="Book Antiqua"/>
          <w:b/>
          <w:bCs/>
        </w:rPr>
        <w:t>Item 4</w:t>
      </w:r>
      <w:r w:rsidRPr="005D320A">
        <w:rPr>
          <w:rFonts w:ascii="Book Antiqua" w:hAnsi="Book Antiqua"/>
          <w:b/>
          <w:bCs/>
        </w:rPr>
        <w:tab/>
        <w:t>Self-supporting and Market Tuition Rate College-Credit Programs Annual</w:t>
      </w:r>
      <w:r w:rsidR="00A542A2">
        <w:rPr>
          <w:rFonts w:ascii="Book Antiqua" w:hAnsi="Book Antiqua"/>
          <w:b/>
          <w:bCs/>
        </w:rPr>
        <w:t xml:space="preserve"> </w:t>
      </w:r>
      <w:r w:rsidRPr="005D320A">
        <w:rPr>
          <w:rFonts w:ascii="Book Antiqua" w:hAnsi="Book Antiqua"/>
          <w:b/>
          <w:bCs/>
        </w:rPr>
        <w:t>Report, 2021-22 &amp; 2022-23</w:t>
      </w:r>
    </w:p>
    <w:p w14:paraId="4B4C8923" w14:textId="3389422B" w:rsidR="00CB37CD" w:rsidRPr="005D320A" w:rsidRDefault="00F75D3D" w:rsidP="00CB37CD">
      <w:pPr>
        <w:spacing w:after="0"/>
        <w:ind w:left="1440"/>
        <w:rPr>
          <w:rFonts w:ascii="Book Antiqua" w:hAnsi="Book Antiqua"/>
        </w:rPr>
      </w:pPr>
      <w:r>
        <w:rPr>
          <w:rFonts w:ascii="Book Antiqua" w:hAnsi="Book Antiqua"/>
        </w:rPr>
        <w:t xml:space="preserve">Dr. </w:t>
      </w:r>
      <w:r w:rsidR="005D320A" w:rsidRPr="005D320A">
        <w:rPr>
          <w:rFonts w:ascii="Book Antiqua" w:hAnsi="Book Antiqua"/>
        </w:rPr>
        <w:t>Deb Miller, Assistant Vice-President for Digital Learning and Innovation, present</w:t>
      </w:r>
      <w:r w:rsidR="00B47F83">
        <w:rPr>
          <w:rFonts w:ascii="Book Antiqua" w:hAnsi="Book Antiqua"/>
        </w:rPr>
        <w:t>ed</w:t>
      </w:r>
      <w:r w:rsidR="00CB37CD">
        <w:rPr>
          <w:rFonts w:ascii="Book Antiqua" w:hAnsi="Book Antiqua"/>
        </w:rPr>
        <w:t xml:space="preserve"> </w:t>
      </w:r>
      <w:r w:rsidR="00CB37CD" w:rsidRPr="005D320A">
        <w:rPr>
          <w:rFonts w:ascii="Book Antiqua" w:hAnsi="Book Antiqua"/>
        </w:rPr>
        <w:t xml:space="preserve">the </w:t>
      </w:r>
      <w:r w:rsidR="00CB37CD">
        <w:rPr>
          <w:rFonts w:ascii="Book Antiqua" w:hAnsi="Book Antiqua"/>
        </w:rPr>
        <w:t>annual report for the self-supporting and market tuition rate college-credit programs, in which</w:t>
      </w:r>
      <w:r w:rsidR="00B47F83">
        <w:rPr>
          <w:rFonts w:ascii="Book Antiqua" w:hAnsi="Book Antiqua"/>
        </w:rPr>
        <w:t xml:space="preserve"> </w:t>
      </w:r>
      <w:r w:rsidR="00CB37CD">
        <w:rPr>
          <w:rFonts w:ascii="Book Antiqua" w:hAnsi="Book Antiqua"/>
        </w:rPr>
        <w:t>t</w:t>
      </w:r>
      <w:r w:rsidR="00CB37CD" w:rsidRPr="005D320A">
        <w:rPr>
          <w:rFonts w:ascii="Book Antiqua" w:hAnsi="Book Antiqua"/>
        </w:rPr>
        <w:t xml:space="preserve">he Board of Governors office collects information about </w:t>
      </w:r>
      <w:r w:rsidR="00CB37CD">
        <w:rPr>
          <w:rFonts w:ascii="Book Antiqua" w:hAnsi="Book Antiqua"/>
        </w:rPr>
        <w:t>these</w:t>
      </w:r>
      <w:r w:rsidR="00CB37CD" w:rsidRPr="005D320A">
        <w:rPr>
          <w:rFonts w:ascii="Book Antiqua" w:hAnsi="Book Antiqua"/>
        </w:rPr>
        <w:t xml:space="preserve"> programs at SUS institutions pursuant to the data collection required by Board regulation 8.002(4)</w:t>
      </w:r>
      <w:r>
        <w:rPr>
          <w:rFonts w:ascii="Book Antiqua" w:hAnsi="Book Antiqua"/>
        </w:rPr>
        <w:t>.</w:t>
      </w:r>
    </w:p>
    <w:p w14:paraId="47EA24CC" w14:textId="5235D6E2" w:rsidR="00CB37CD" w:rsidRDefault="00CB37CD" w:rsidP="005D320A">
      <w:pPr>
        <w:spacing w:after="0"/>
        <w:ind w:left="1440"/>
        <w:rPr>
          <w:rFonts w:ascii="Book Antiqua" w:hAnsi="Book Antiqua"/>
        </w:rPr>
      </w:pPr>
    </w:p>
    <w:p w14:paraId="623ACE5C" w14:textId="321642ED" w:rsidR="005D320A" w:rsidRDefault="00CB37CD" w:rsidP="005D320A">
      <w:pPr>
        <w:spacing w:after="0"/>
        <w:ind w:left="1440"/>
        <w:rPr>
          <w:rFonts w:ascii="Book Antiqua" w:hAnsi="Book Antiqua"/>
        </w:rPr>
      </w:pPr>
      <w:r>
        <w:rPr>
          <w:rFonts w:ascii="Book Antiqua" w:hAnsi="Book Antiqua"/>
        </w:rPr>
        <w:t>Dr. Miller shared the</w:t>
      </w:r>
      <w:r w:rsidR="005D320A" w:rsidRPr="005D320A">
        <w:rPr>
          <w:rFonts w:ascii="Book Antiqua" w:hAnsi="Book Antiqua"/>
        </w:rPr>
        <w:t xml:space="preserve"> required information for UNF’s two market-rate programs, the MS in Nutrition and Dietetics-Online and the Post-MSN DNP- Online. </w:t>
      </w:r>
      <w:r w:rsidR="00F75D3D">
        <w:rPr>
          <w:rFonts w:ascii="Book Antiqua" w:hAnsi="Book Antiqua"/>
        </w:rPr>
        <w:t xml:space="preserve">She provided the revision highlights to BOG 8.002, </w:t>
      </w:r>
      <w:r w:rsidR="005D320A" w:rsidRPr="005D320A">
        <w:rPr>
          <w:rFonts w:ascii="Book Antiqua" w:hAnsi="Book Antiqua"/>
        </w:rPr>
        <w:t>which prohibits undergraduate self-supporting programs leading to its conversion to an EG-supported program for the current academic year.</w:t>
      </w:r>
    </w:p>
    <w:p w14:paraId="1B1257A4" w14:textId="29B8E461" w:rsidR="00F75D3D" w:rsidRDefault="00F75D3D" w:rsidP="005D320A">
      <w:pPr>
        <w:spacing w:after="0"/>
        <w:ind w:left="1440"/>
        <w:rPr>
          <w:rFonts w:ascii="Book Antiqua" w:hAnsi="Book Antiqua"/>
        </w:rPr>
      </w:pPr>
    </w:p>
    <w:p w14:paraId="351E20C0" w14:textId="3EED6421" w:rsidR="00F75D3D" w:rsidRDefault="00F75D3D" w:rsidP="005D320A">
      <w:pPr>
        <w:spacing w:after="0"/>
        <w:ind w:left="1440"/>
        <w:rPr>
          <w:rFonts w:ascii="Book Antiqua" w:hAnsi="Book Antiqua"/>
        </w:rPr>
      </w:pPr>
      <w:r>
        <w:rPr>
          <w:rFonts w:ascii="Book Antiqua" w:hAnsi="Book Antiqua"/>
        </w:rPr>
        <w:t xml:space="preserve">Chair Egan asked for clarification on the standard graduate tuition and the market rate tuition. Dr. Miller explained that both the Post-MSN and the DNP are $523.25 per credit hour for Florida and non-Florida residents. However, in </w:t>
      </w:r>
      <w:r>
        <w:rPr>
          <w:rFonts w:ascii="Book Antiqua" w:hAnsi="Book Antiqua"/>
        </w:rPr>
        <w:lastRenderedPageBreak/>
        <w:t>similar programs that are not apart of the market rate</w:t>
      </w:r>
      <w:r w:rsidR="0011276B">
        <w:rPr>
          <w:rFonts w:ascii="Book Antiqua" w:hAnsi="Book Antiqua"/>
        </w:rPr>
        <w:t>, the tuition of $493.53 for Florida residents is slightly lower per credit hour, but the tuition of $1,044.27 is much higher for non-Florida residents.</w:t>
      </w:r>
    </w:p>
    <w:p w14:paraId="3427296B" w14:textId="5D6CC922" w:rsidR="0011276B" w:rsidRDefault="0011276B" w:rsidP="005D320A">
      <w:pPr>
        <w:spacing w:after="0"/>
        <w:ind w:left="1440"/>
        <w:rPr>
          <w:rFonts w:ascii="Book Antiqua" w:hAnsi="Book Antiqua"/>
        </w:rPr>
      </w:pPr>
    </w:p>
    <w:p w14:paraId="316D0055" w14:textId="673B3351" w:rsidR="0011276B" w:rsidRPr="005D320A" w:rsidRDefault="0011276B" w:rsidP="005D320A">
      <w:pPr>
        <w:spacing w:after="0"/>
        <w:ind w:left="1440"/>
        <w:rPr>
          <w:rFonts w:ascii="Book Antiqua" w:hAnsi="Book Antiqua"/>
        </w:rPr>
      </w:pPr>
      <w:r>
        <w:rPr>
          <w:rFonts w:ascii="Book Antiqua" w:hAnsi="Book Antiqua"/>
        </w:rPr>
        <w:t>Dr. Miller provided a brief review of the revenue and expenditures for UNF’s self-supporting and market programs. She indicated there is a negative revenue number in fiscal year 2022 for the Master of Science in Nutrition and Dietetics Online due to the admission of a large cohort of students who used the State waiver for tuition.</w:t>
      </w:r>
      <w:r w:rsidR="00DE4A6A">
        <w:rPr>
          <w:rFonts w:ascii="Book Antiqua" w:hAnsi="Book Antiqua"/>
        </w:rPr>
        <w:t xml:space="preserve"> In 2019, UNF’s contract with academic partnerships ended, and the University began managing their programs themselves. </w:t>
      </w:r>
    </w:p>
    <w:p w14:paraId="050B936A" w14:textId="77777777" w:rsidR="005D320A" w:rsidRPr="005D320A" w:rsidRDefault="005D320A" w:rsidP="005D320A">
      <w:pPr>
        <w:spacing w:after="0"/>
        <w:ind w:left="1440"/>
        <w:rPr>
          <w:rFonts w:ascii="Book Antiqua" w:hAnsi="Book Antiqua"/>
        </w:rPr>
      </w:pPr>
    </w:p>
    <w:p w14:paraId="7E834050" w14:textId="438A4D5F" w:rsidR="005D320A" w:rsidRPr="005D320A" w:rsidRDefault="005D320A" w:rsidP="005D320A">
      <w:pPr>
        <w:spacing w:after="0"/>
        <w:ind w:left="1440"/>
        <w:rPr>
          <w:rFonts w:ascii="Book Antiqua" w:hAnsi="Book Antiqua"/>
        </w:rPr>
      </w:pPr>
      <w:r w:rsidRPr="005D320A">
        <w:rPr>
          <w:rFonts w:ascii="Book Antiqua" w:hAnsi="Book Antiqua"/>
        </w:rPr>
        <w:t xml:space="preserve">Chair Egan asked for a MOTION to approve the </w:t>
      </w:r>
      <w:r w:rsidR="00B47F83" w:rsidRPr="005D320A">
        <w:rPr>
          <w:rFonts w:ascii="Book Antiqua" w:hAnsi="Book Antiqua"/>
        </w:rPr>
        <w:t>Self-supporting and Market Tuition Rate</w:t>
      </w:r>
      <w:r w:rsidR="00A729B6">
        <w:rPr>
          <w:rFonts w:ascii="Book Antiqua" w:hAnsi="Book Antiqua"/>
        </w:rPr>
        <w:t xml:space="preserve"> report</w:t>
      </w:r>
      <w:r w:rsidRPr="005D320A">
        <w:rPr>
          <w:rFonts w:ascii="Book Antiqua" w:hAnsi="Book Antiqua"/>
        </w:rPr>
        <w:t xml:space="preserve">. Chair Hyde made a MOTION to APPROVE and Trustee </w:t>
      </w:r>
      <w:r w:rsidR="00B47F83">
        <w:rPr>
          <w:rFonts w:ascii="Book Antiqua" w:hAnsi="Book Antiqua"/>
        </w:rPr>
        <w:t>Binder</w:t>
      </w:r>
      <w:r w:rsidRPr="005D320A">
        <w:rPr>
          <w:rFonts w:ascii="Book Antiqua" w:hAnsi="Book Antiqua"/>
        </w:rPr>
        <w:t xml:space="preserve"> SECONDED. The committee unanimously approved the motion.</w:t>
      </w:r>
    </w:p>
    <w:p w14:paraId="7B6548AC" w14:textId="77777777" w:rsidR="005D320A" w:rsidRPr="005D320A" w:rsidRDefault="005D320A" w:rsidP="005D320A">
      <w:pPr>
        <w:ind w:left="1440"/>
        <w:rPr>
          <w:rFonts w:ascii="Book Antiqua" w:hAnsi="Book Antiqua"/>
        </w:rPr>
      </w:pPr>
    </w:p>
    <w:bookmarkEnd w:id="0"/>
    <w:p w14:paraId="77A1DF2C"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5</w:t>
      </w:r>
      <w:r w:rsidRPr="005D320A">
        <w:rPr>
          <w:rFonts w:ascii="Book Antiqua" w:hAnsi="Book Antiqua"/>
          <w:b/>
          <w:bCs/>
        </w:rPr>
        <w:tab/>
        <w:t xml:space="preserve">Proposed Amendment:  </w:t>
      </w:r>
      <w:bookmarkStart w:id="1" w:name="_Hlk144197029"/>
      <w:r w:rsidRPr="005D320A">
        <w:rPr>
          <w:rFonts w:ascii="Book Antiqua" w:hAnsi="Book Antiqua"/>
          <w:b/>
          <w:bCs/>
        </w:rPr>
        <w:t>2.0382R Admissions Transfer Students</w:t>
      </w:r>
      <w:bookmarkEnd w:id="1"/>
    </w:p>
    <w:p w14:paraId="490C3D71" w14:textId="514DC868" w:rsidR="00FB44F4" w:rsidRDefault="00FB44F4" w:rsidP="00FB44F4">
      <w:pPr>
        <w:spacing w:after="0"/>
        <w:ind w:left="1440"/>
        <w:rPr>
          <w:rFonts w:ascii="Book Antiqua" w:hAnsi="Book Antiqua"/>
        </w:rPr>
      </w:pPr>
      <w:r w:rsidRPr="005D320A">
        <w:rPr>
          <w:rFonts w:ascii="Book Antiqua" w:hAnsi="Book Antiqua"/>
        </w:rPr>
        <w:t xml:space="preserve">Ms. Robyn Blank, Associate Vice President and Chief Compliance and Ethics Officer, </w:t>
      </w:r>
      <w:r>
        <w:rPr>
          <w:rFonts w:ascii="Book Antiqua" w:hAnsi="Book Antiqua"/>
        </w:rPr>
        <w:t xml:space="preserve">presented </w:t>
      </w:r>
      <w:r w:rsidR="008E036F">
        <w:rPr>
          <w:rFonts w:ascii="Book Antiqua" w:hAnsi="Book Antiqua"/>
        </w:rPr>
        <w:t xml:space="preserve">a </w:t>
      </w:r>
      <w:r>
        <w:rPr>
          <w:rFonts w:ascii="Book Antiqua" w:hAnsi="Book Antiqua"/>
        </w:rPr>
        <w:t>minor revision to 2.0382R,</w:t>
      </w:r>
      <w:r w:rsidR="006338DD">
        <w:rPr>
          <w:rFonts w:ascii="Book Antiqua" w:hAnsi="Book Antiqua"/>
        </w:rPr>
        <w:t xml:space="preserve"> </w:t>
      </w:r>
      <w:bookmarkStart w:id="2" w:name="_Hlk145664908"/>
      <w:r w:rsidR="006338DD">
        <w:rPr>
          <w:rFonts w:ascii="Book Antiqua" w:hAnsi="Book Antiqua"/>
        </w:rPr>
        <w:t>which updates language</w:t>
      </w:r>
      <w:r>
        <w:rPr>
          <w:rFonts w:ascii="Book Antiqua" w:hAnsi="Book Antiqua"/>
        </w:rPr>
        <w:t xml:space="preserve"> governing admissions of undergraduate transfer students. </w:t>
      </w:r>
      <w:bookmarkEnd w:id="2"/>
    </w:p>
    <w:p w14:paraId="6376BA06" w14:textId="5CCB698B" w:rsidR="00FB44F4" w:rsidRDefault="00FB44F4" w:rsidP="00FB44F4">
      <w:pPr>
        <w:spacing w:after="0"/>
        <w:ind w:left="1440"/>
        <w:rPr>
          <w:rFonts w:ascii="Book Antiqua" w:hAnsi="Book Antiqua"/>
        </w:rPr>
      </w:pPr>
    </w:p>
    <w:p w14:paraId="7F2E6AEF" w14:textId="15D5E412" w:rsidR="005D320A" w:rsidRPr="005D320A" w:rsidRDefault="005D320A" w:rsidP="005D320A">
      <w:pPr>
        <w:spacing w:after="0"/>
        <w:ind w:left="1440"/>
        <w:rPr>
          <w:rFonts w:ascii="Book Antiqua" w:hAnsi="Book Antiqua"/>
        </w:rPr>
      </w:pPr>
      <w:r w:rsidRPr="005D320A">
        <w:rPr>
          <w:rFonts w:ascii="Book Antiqua" w:hAnsi="Book Antiqua"/>
        </w:rPr>
        <w:t>The proposed revision to the regulation constitutes a minor technical edit to replace references to the term “limited access” with “specialized admissions</w:t>
      </w:r>
      <w:r w:rsidR="00FB44F4">
        <w:rPr>
          <w:rFonts w:ascii="Book Antiqua" w:hAnsi="Book Antiqua"/>
        </w:rPr>
        <w:t>,</w:t>
      </w:r>
      <w:r w:rsidRPr="005D320A">
        <w:rPr>
          <w:rFonts w:ascii="Book Antiqua" w:hAnsi="Book Antiqua"/>
        </w:rPr>
        <w:t xml:space="preserve">” </w:t>
      </w:r>
      <w:r w:rsidR="00FB44F4">
        <w:rPr>
          <w:rFonts w:ascii="Book Antiqua" w:hAnsi="Book Antiqua"/>
        </w:rPr>
        <w:t xml:space="preserve">to remain consistent with BOG Regulation 8.013. Ms. Blank </w:t>
      </w:r>
      <w:r w:rsidR="006338DD">
        <w:rPr>
          <w:rFonts w:ascii="Book Antiqua" w:hAnsi="Book Antiqua"/>
        </w:rPr>
        <w:t>noted that “specialized admissions” programs require an audition or portfolio submission (music, dance, studio art, engineering, nursing, etc.) or prerequisite courses with minimum grades in those courses.</w:t>
      </w:r>
    </w:p>
    <w:p w14:paraId="2EDEAEB4" w14:textId="77777777" w:rsidR="005D320A" w:rsidRPr="005D320A" w:rsidRDefault="005D320A" w:rsidP="006338DD">
      <w:pPr>
        <w:spacing w:after="0"/>
        <w:rPr>
          <w:rFonts w:ascii="Book Antiqua" w:hAnsi="Book Antiqua"/>
        </w:rPr>
      </w:pPr>
    </w:p>
    <w:p w14:paraId="61FF4948" w14:textId="08A9F3C6" w:rsidR="006338DD" w:rsidRDefault="006338DD" w:rsidP="005D320A">
      <w:pPr>
        <w:spacing w:after="0"/>
        <w:ind w:left="1440"/>
        <w:rPr>
          <w:rFonts w:ascii="Book Antiqua" w:hAnsi="Book Antiqua"/>
        </w:rPr>
      </w:pPr>
      <w:r>
        <w:rPr>
          <w:rFonts w:ascii="Book Antiqua" w:hAnsi="Book Antiqua"/>
        </w:rPr>
        <w:t>Ms. Blank stated that all conditions precedent to the consideration of this item ha</w:t>
      </w:r>
      <w:r w:rsidR="000E5C32">
        <w:rPr>
          <w:rFonts w:ascii="Book Antiqua" w:hAnsi="Book Antiqua"/>
        </w:rPr>
        <w:t>ve</w:t>
      </w:r>
      <w:r>
        <w:rPr>
          <w:rFonts w:ascii="Book Antiqua" w:hAnsi="Book Antiqua"/>
        </w:rPr>
        <w:t xml:space="preserve"> been met, as it has been vetted by CEROC and the executive cabinet. This amended regulation has completed the 30-day posting requirement and will require approval of the Board. Ms. Blank offered the opportunity for questions.</w:t>
      </w:r>
    </w:p>
    <w:p w14:paraId="796D8645" w14:textId="499B32F9" w:rsidR="005D320A" w:rsidRPr="005D320A" w:rsidRDefault="005D320A" w:rsidP="005D320A">
      <w:pPr>
        <w:spacing w:after="0"/>
        <w:ind w:left="1440"/>
        <w:rPr>
          <w:rFonts w:ascii="Book Antiqua" w:hAnsi="Book Antiqua"/>
        </w:rPr>
      </w:pPr>
      <w:r w:rsidRPr="005D320A">
        <w:rPr>
          <w:rFonts w:ascii="Book Antiqua" w:hAnsi="Book Antiqua"/>
        </w:rPr>
        <w:t xml:space="preserve">Hearing no questions, Chair Egan asked for a MOTION to approve the Amended Regulation – </w:t>
      </w:r>
      <w:r>
        <w:rPr>
          <w:rFonts w:ascii="Book Antiqua" w:hAnsi="Book Antiqua"/>
        </w:rPr>
        <w:t>2.0382R</w:t>
      </w:r>
      <w:r w:rsidRPr="005D320A">
        <w:rPr>
          <w:rFonts w:ascii="Book Antiqua" w:hAnsi="Book Antiqua"/>
        </w:rPr>
        <w:t xml:space="preserve"> </w:t>
      </w:r>
      <w:r>
        <w:rPr>
          <w:rFonts w:ascii="Book Antiqua" w:hAnsi="Book Antiqua"/>
        </w:rPr>
        <w:t>Admissions Transfer Students</w:t>
      </w:r>
      <w:r w:rsidRPr="005D320A">
        <w:rPr>
          <w:rFonts w:ascii="Book Antiqua" w:hAnsi="Book Antiqua"/>
        </w:rPr>
        <w:t xml:space="preserve">. </w:t>
      </w:r>
      <w:r w:rsidR="00B47F83">
        <w:rPr>
          <w:rFonts w:ascii="Book Antiqua" w:hAnsi="Book Antiqua"/>
        </w:rPr>
        <w:t>Trustee Binder</w:t>
      </w:r>
      <w:r w:rsidRPr="005D320A">
        <w:rPr>
          <w:rFonts w:ascii="Book Antiqua" w:hAnsi="Book Antiqua"/>
        </w:rPr>
        <w:t xml:space="preserve"> made a </w:t>
      </w:r>
      <w:r w:rsidRPr="005D320A">
        <w:rPr>
          <w:rFonts w:ascii="Book Antiqua" w:hAnsi="Book Antiqua"/>
        </w:rPr>
        <w:lastRenderedPageBreak/>
        <w:t xml:space="preserve">MOTION to APPROVE and </w:t>
      </w:r>
      <w:r w:rsidR="00B47F83">
        <w:rPr>
          <w:rFonts w:ascii="Book Antiqua" w:hAnsi="Book Antiqua"/>
        </w:rPr>
        <w:t>Chair Hyde</w:t>
      </w:r>
      <w:r w:rsidRPr="005D320A">
        <w:rPr>
          <w:rFonts w:ascii="Book Antiqua" w:hAnsi="Book Antiqua"/>
        </w:rPr>
        <w:t xml:space="preserve"> SECONDED. The committee unanimously approved the motion.</w:t>
      </w:r>
    </w:p>
    <w:p w14:paraId="62B9A151" w14:textId="77777777" w:rsidR="005D320A" w:rsidRPr="005D320A" w:rsidRDefault="005D320A" w:rsidP="005D320A">
      <w:pPr>
        <w:spacing w:after="0"/>
        <w:ind w:left="720" w:firstLine="720"/>
        <w:rPr>
          <w:rFonts w:ascii="Book Antiqua" w:hAnsi="Book Antiqua"/>
        </w:rPr>
      </w:pPr>
    </w:p>
    <w:p w14:paraId="066E8E80"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6</w:t>
      </w:r>
      <w:r w:rsidRPr="005D320A">
        <w:rPr>
          <w:rFonts w:ascii="Book Antiqua" w:hAnsi="Book Antiqua"/>
          <w:b/>
          <w:bCs/>
        </w:rPr>
        <w:tab/>
      </w:r>
      <w:bookmarkStart w:id="3" w:name="_Hlk144197045"/>
      <w:r w:rsidRPr="005D320A">
        <w:rPr>
          <w:rFonts w:ascii="Book Antiqua" w:hAnsi="Book Antiqua"/>
          <w:b/>
          <w:bCs/>
        </w:rPr>
        <w:t>Textbook and Instructional Materials Affordability Report</w:t>
      </w:r>
    </w:p>
    <w:bookmarkEnd w:id="3"/>
    <w:p w14:paraId="5A5D7175" w14:textId="3BAF2D75" w:rsidR="005D320A" w:rsidRPr="005D320A" w:rsidRDefault="00C172FC" w:rsidP="00CB0E1F">
      <w:pPr>
        <w:ind w:left="1440"/>
        <w:rPr>
          <w:rFonts w:ascii="Book Antiqua" w:hAnsi="Book Antiqua"/>
        </w:rPr>
      </w:pPr>
      <w:r w:rsidRPr="005D320A">
        <w:rPr>
          <w:rFonts w:ascii="Book Antiqua" w:hAnsi="Book Antiqua"/>
        </w:rPr>
        <w:t xml:space="preserve">Provost </w:t>
      </w:r>
      <w:r>
        <w:rPr>
          <w:rFonts w:ascii="Book Antiqua" w:hAnsi="Book Antiqua"/>
        </w:rPr>
        <w:t xml:space="preserve">Karen </w:t>
      </w:r>
      <w:r w:rsidRPr="005D320A">
        <w:rPr>
          <w:rFonts w:ascii="Book Antiqua" w:hAnsi="Book Antiqua"/>
        </w:rPr>
        <w:t>Patterson address</w:t>
      </w:r>
      <w:r>
        <w:rPr>
          <w:rFonts w:ascii="Book Antiqua" w:hAnsi="Book Antiqua"/>
        </w:rPr>
        <w:t>ed</w:t>
      </w:r>
      <w:r w:rsidRPr="005D320A">
        <w:rPr>
          <w:rFonts w:ascii="Book Antiqua" w:hAnsi="Book Antiqua"/>
        </w:rPr>
        <w:t xml:space="preserve"> the Board and discuss</w:t>
      </w:r>
      <w:r>
        <w:rPr>
          <w:rFonts w:ascii="Book Antiqua" w:hAnsi="Book Antiqua"/>
        </w:rPr>
        <w:t>ed</w:t>
      </w:r>
      <w:r w:rsidRPr="005D320A">
        <w:rPr>
          <w:rFonts w:ascii="Book Antiqua" w:hAnsi="Book Antiqua"/>
        </w:rPr>
        <w:t xml:space="preserve"> the </w:t>
      </w:r>
      <w:r>
        <w:rPr>
          <w:rFonts w:ascii="Book Antiqua" w:hAnsi="Book Antiqua"/>
        </w:rPr>
        <w:t>textbook and instructional materials affordability r</w:t>
      </w:r>
      <w:r w:rsidRPr="005D320A">
        <w:rPr>
          <w:rFonts w:ascii="Book Antiqua" w:hAnsi="Book Antiqua"/>
        </w:rPr>
        <w:t>eport submitted for</w:t>
      </w:r>
      <w:r w:rsidR="006F198A">
        <w:rPr>
          <w:rFonts w:ascii="Book Antiqua" w:hAnsi="Book Antiqua"/>
        </w:rPr>
        <w:t xml:space="preserve"> </w:t>
      </w:r>
      <w:r w:rsidRPr="005D320A">
        <w:rPr>
          <w:rFonts w:ascii="Book Antiqua" w:hAnsi="Book Antiqua"/>
        </w:rPr>
        <w:t>Board</w:t>
      </w:r>
      <w:r w:rsidR="006F198A">
        <w:rPr>
          <w:rFonts w:ascii="Book Antiqua" w:hAnsi="Book Antiqua"/>
        </w:rPr>
        <w:t xml:space="preserve"> </w:t>
      </w:r>
      <w:r w:rsidRPr="005D320A">
        <w:rPr>
          <w:rFonts w:ascii="Book Antiqua" w:hAnsi="Book Antiqua"/>
        </w:rPr>
        <w:t>approval.</w:t>
      </w:r>
      <w:r w:rsidR="006F198A">
        <w:rPr>
          <w:rFonts w:ascii="Book Antiqua" w:hAnsi="Book Antiqua"/>
        </w:rPr>
        <w:t xml:space="preserve"> </w:t>
      </w:r>
      <w:r w:rsidR="005D320A" w:rsidRPr="005D320A">
        <w:rPr>
          <w:rFonts w:ascii="Book Antiqua" w:hAnsi="Book Antiqua"/>
        </w:rPr>
        <w:t xml:space="preserve">Each university Board of Trustees must provide a report, by September 30 of each year, that details: </w:t>
      </w:r>
    </w:p>
    <w:p w14:paraId="4DD66EBE" w14:textId="6DCFEA1B" w:rsidR="005D320A" w:rsidRPr="005D320A" w:rsidRDefault="005809A2" w:rsidP="009D0FF1">
      <w:pPr>
        <w:numPr>
          <w:ilvl w:val="0"/>
          <w:numId w:val="1"/>
        </w:numPr>
        <w:spacing w:after="0"/>
        <w:ind w:left="1800"/>
        <w:contextualSpacing/>
        <w:rPr>
          <w:rFonts w:ascii="Book Antiqua" w:hAnsi="Book Antiqua"/>
        </w:rPr>
      </w:pPr>
      <w:r>
        <w:rPr>
          <w:rFonts w:ascii="Book Antiqua" w:hAnsi="Book Antiqua"/>
        </w:rPr>
        <w:t xml:space="preserve">The </w:t>
      </w:r>
      <w:r w:rsidRPr="005D320A">
        <w:rPr>
          <w:rFonts w:ascii="Book Antiqua" w:hAnsi="Book Antiqua"/>
        </w:rPr>
        <w:t>general education</w:t>
      </w:r>
      <w:r>
        <w:rPr>
          <w:rFonts w:ascii="Book Antiqua" w:hAnsi="Book Antiqua"/>
        </w:rPr>
        <w:t xml:space="preserve"> </w:t>
      </w:r>
      <w:r w:rsidR="00613DAF">
        <w:rPr>
          <w:rFonts w:ascii="Book Antiqua" w:hAnsi="Book Antiqua"/>
        </w:rPr>
        <w:t xml:space="preserve">(Gen-Ed) </w:t>
      </w:r>
      <w:r>
        <w:rPr>
          <w:rFonts w:ascii="Book Antiqua" w:hAnsi="Book Antiqua"/>
        </w:rPr>
        <w:t xml:space="preserve">courses with high enrollment, which include two writing intensive English courses, general biology, and elemental statistics for health and social science majors. </w:t>
      </w:r>
      <w:r w:rsidR="005D320A" w:rsidRPr="005D320A">
        <w:rPr>
          <w:rFonts w:ascii="Book Antiqua" w:hAnsi="Book Antiqua"/>
        </w:rPr>
        <w:t xml:space="preserve">The </w:t>
      </w:r>
      <w:r>
        <w:rPr>
          <w:rFonts w:ascii="Book Antiqua" w:hAnsi="Book Antiqua"/>
        </w:rPr>
        <w:t>selection process for textbooks is determined by department committees, individual faculty, and often a combination of the two.</w:t>
      </w:r>
      <w:r w:rsidR="006F198A">
        <w:rPr>
          <w:rFonts w:ascii="Book Antiqua" w:hAnsi="Book Antiqua"/>
        </w:rPr>
        <w:t xml:space="preserve"> </w:t>
      </w:r>
    </w:p>
    <w:p w14:paraId="43604E2B" w14:textId="79923558" w:rsidR="007151AA" w:rsidRDefault="005D320A" w:rsidP="00CB0E1F">
      <w:pPr>
        <w:numPr>
          <w:ilvl w:val="0"/>
          <w:numId w:val="1"/>
        </w:numPr>
        <w:ind w:left="1800"/>
        <w:contextualSpacing/>
        <w:rPr>
          <w:rFonts w:ascii="Book Antiqua" w:hAnsi="Book Antiqua"/>
        </w:rPr>
      </w:pPr>
      <w:r w:rsidRPr="005D320A">
        <w:rPr>
          <w:rFonts w:ascii="Book Antiqua" w:hAnsi="Book Antiqua"/>
        </w:rPr>
        <w:t>Specific initiatives of the institution designed to reduce the costs of textbooks and instructional materials</w:t>
      </w:r>
      <w:r w:rsidR="005809A2">
        <w:rPr>
          <w:rFonts w:ascii="Book Antiqua" w:hAnsi="Book Antiqua"/>
        </w:rPr>
        <w:t xml:space="preserve"> through the active participation of faculty</w:t>
      </w:r>
      <w:r w:rsidR="009D0FF1">
        <w:rPr>
          <w:rFonts w:ascii="Book Antiqua" w:hAnsi="Book Antiqua"/>
        </w:rPr>
        <w:t>:</w:t>
      </w:r>
    </w:p>
    <w:p w14:paraId="366355AD" w14:textId="29ACD03E" w:rsidR="005D320A" w:rsidRDefault="007151AA" w:rsidP="007151AA">
      <w:pPr>
        <w:pStyle w:val="ListParagraph"/>
        <w:numPr>
          <w:ilvl w:val="0"/>
          <w:numId w:val="2"/>
        </w:numPr>
        <w:spacing w:after="0"/>
        <w:rPr>
          <w:rFonts w:ascii="Book Antiqua" w:hAnsi="Book Antiqua"/>
        </w:rPr>
      </w:pPr>
      <w:r w:rsidRPr="0006635F">
        <w:rPr>
          <w:rFonts w:ascii="Book Antiqua" w:hAnsi="Book Antiqua"/>
          <w:b/>
          <w:bCs/>
          <w:i/>
          <w:iCs/>
        </w:rPr>
        <w:t>Affordability Counts</w:t>
      </w:r>
      <w:r w:rsidRPr="007151AA">
        <w:rPr>
          <w:rFonts w:ascii="Book Antiqua" w:hAnsi="Book Antiqua"/>
        </w:rPr>
        <w:t xml:space="preserve"> initiative is to increase awareness and adoption of textbooks, and to date, there are 227 UNF faculty who have participated</w:t>
      </w:r>
      <w:r>
        <w:rPr>
          <w:rFonts w:ascii="Book Antiqua" w:hAnsi="Book Antiqua"/>
        </w:rPr>
        <w:t xml:space="preserve">. </w:t>
      </w:r>
    </w:p>
    <w:p w14:paraId="46234B14" w14:textId="60F44221" w:rsidR="00D6781E" w:rsidRPr="0006635F" w:rsidRDefault="00C542CC" w:rsidP="00CB0E1F">
      <w:pPr>
        <w:pStyle w:val="ListParagraph"/>
        <w:numPr>
          <w:ilvl w:val="0"/>
          <w:numId w:val="2"/>
        </w:numPr>
        <w:rPr>
          <w:rFonts w:ascii="Book Antiqua" w:hAnsi="Book Antiqua"/>
        </w:rPr>
      </w:pPr>
      <w:r>
        <w:rPr>
          <w:rFonts w:ascii="Book Antiqua" w:hAnsi="Book Antiqua"/>
        </w:rPr>
        <w:t xml:space="preserve">A </w:t>
      </w:r>
      <w:r w:rsidR="007151AA" w:rsidRPr="004E6BE6">
        <w:rPr>
          <w:rFonts w:ascii="Book Antiqua" w:hAnsi="Book Antiqua"/>
          <w:b/>
          <w:bCs/>
        </w:rPr>
        <w:t>Follett</w:t>
      </w:r>
      <w:r w:rsidR="007151AA">
        <w:rPr>
          <w:rFonts w:ascii="Book Antiqua" w:hAnsi="Book Antiqua"/>
          <w:b/>
          <w:bCs/>
        </w:rPr>
        <w:t xml:space="preserve"> </w:t>
      </w:r>
      <w:r w:rsidR="007151AA">
        <w:rPr>
          <w:rFonts w:ascii="Book Antiqua" w:hAnsi="Book Antiqua"/>
        </w:rPr>
        <w:t xml:space="preserve">initiative is a partnership with the UNF Bookstore to offer </w:t>
      </w:r>
      <w:r>
        <w:rPr>
          <w:rFonts w:ascii="Book Antiqua" w:hAnsi="Book Antiqua"/>
        </w:rPr>
        <w:t xml:space="preserve">the </w:t>
      </w:r>
      <w:r w:rsidRPr="004E6BE6">
        <w:rPr>
          <w:rFonts w:ascii="Book Antiqua" w:hAnsi="Book Antiqua"/>
          <w:i/>
          <w:iCs/>
        </w:rPr>
        <w:t>Discover</w:t>
      </w:r>
      <w:r>
        <w:rPr>
          <w:rFonts w:ascii="Book Antiqua" w:hAnsi="Book Antiqua"/>
        </w:rPr>
        <w:t xml:space="preserve"> </w:t>
      </w:r>
      <w:r w:rsidR="007151AA">
        <w:rPr>
          <w:rFonts w:ascii="Book Antiqua" w:hAnsi="Book Antiqua"/>
        </w:rPr>
        <w:t xml:space="preserve">tool to faculty. This </w:t>
      </w:r>
      <w:r>
        <w:rPr>
          <w:rFonts w:ascii="Book Antiqua" w:hAnsi="Book Antiqua"/>
        </w:rPr>
        <w:t xml:space="preserve">tool </w:t>
      </w:r>
      <w:r w:rsidR="007151AA">
        <w:rPr>
          <w:rFonts w:ascii="Book Antiqua" w:hAnsi="Book Antiqua"/>
        </w:rPr>
        <w:t>allows access to the cost of instructional materials before adoption, as well as recommendations for alternative and low-cost materials.</w:t>
      </w:r>
      <w:r w:rsidR="0006635F">
        <w:rPr>
          <w:rFonts w:ascii="Book Antiqua" w:hAnsi="Book Antiqua"/>
        </w:rPr>
        <w:t xml:space="preserve"> Additionally, there is a </w:t>
      </w:r>
      <w:r w:rsidR="0006635F" w:rsidRPr="0006635F">
        <w:rPr>
          <w:rFonts w:ascii="Book Antiqua" w:hAnsi="Book Antiqua"/>
          <w:b/>
          <w:bCs/>
          <w:i/>
          <w:iCs/>
        </w:rPr>
        <w:t>Follett Access opt-out program</w:t>
      </w:r>
      <w:r w:rsidR="0006635F">
        <w:rPr>
          <w:rFonts w:ascii="Book Antiqua" w:hAnsi="Book Antiqua"/>
        </w:rPr>
        <w:t xml:space="preserve">, which allows a student to receive their deeply discounted instructional materials digitally by the first day of class, and the cost is included in the course tuition. </w:t>
      </w:r>
      <w:r w:rsidR="0006635F" w:rsidRPr="0006635F">
        <w:rPr>
          <w:rFonts w:ascii="Book Antiqua" w:hAnsi="Book Antiqua"/>
        </w:rPr>
        <w:t xml:space="preserve">During fiscal year 2022, the UNF bookstore reported student savings of over $1 million </w:t>
      </w:r>
      <w:r w:rsidR="0006635F">
        <w:rPr>
          <w:rFonts w:ascii="Book Antiqua" w:hAnsi="Book Antiqua"/>
        </w:rPr>
        <w:t>due to this program.</w:t>
      </w:r>
    </w:p>
    <w:p w14:paraId="1BDAA1D8" w14:textId="78FD1F61" w:rsidR="005D320A" w:rsidRDefault="005D320A" w:rsidP="005D320A">
      <w:pPr>
        <w:numPr>
          <w:ilvl w:val="0"/>
          <w:numId w:val="1"/>
        </w:numPr>
        <w:spacing w:after="0"/>
        <w:ind w:left="1800"/>
        <w:contextualSpacing/>
        <w:rPr>
          <w:rFonts w:ascii="Book Antiqua" w:hAnsi="Book Antiqua"/>
        </w:rPr>
      </w:pPr>
      <w:r w:rsidRPr="005D320A">
        <w:rPr>
          <w:rFonts w:ascii="Book Antiqua" w:hAnsi="Book Antiqua"/>
        </w:rPr>
        <w:t>Policies implemented regarding the posting of textbook and instructional materials for at least 95% of all courses and course sections 45 days before the first day of class</w:t>
      </w:r>
      <w:r w:rsidR="009D0FF1">
        <w:rPr>
          <w:rFonts w:ascii="Book Antiqua" w:hAnsi="Book Antiqua"/>
        </w:rPr>
        <w:t>:</w:t>
      </w:r>
    </w:p>
    <w:p w14:paraId="445B4AD1" w14:textId="07C3086C" w:rsidR="00CB0E1F" w:rsidRDefault="00024B7E" w:rsidP="00CB0E1F">
      <w:pPr>
        <w:pStyle w:val="ListParagraph"/>
        <w:numPr>
          <w:ilvl w:val="0"/>
          <w:numId w:val="4"/>
        </w:numPr>
        <w:spacing w:after="0"/>
        <w:rPr>
          <w:rFonts w:ascii="Book Antiqua" w:hAnsi="Book Antiqua"/>
        </w:rPr>
      </w:pPr>
      <w:r>
        <w:rPr>
          <w:rFonts w:ascii="Book Antiqua" w:hAnsi="Book Antiqua"/>
        </w:rPr>
        <w:t>Establish standardized adoption deadlines 6-weeks prior to start of semester.</w:t>
      </w:r>
    </w:p>
    <w:p w14:paraId="029803D0" w14:textId="6842E1D9" w:rsidR="00024B7E" w:rsidRDefault="00024B7E" w:rsidP="00CB0E1F">
      <w:pPr>
        <w:pStyle w:val="ListParagraph"/>
        <w:numPr>
          <w:ilvl w:val="0"/>
          <w:numId w:val="4"/>
        </w:numPr>
        <w:spacing w:after="0"/>
        <w:rPr>
          <w:rFonts w:ascii="Book Antiqua" w:hAnsi="Book Antiqua"/>
        </w:rPr>
      </w:pPr>
      <w:r>
        <w:rPr>
          <w:rFonts w:ascii="Book Antiqua" w:hAnsi="Book Antiqua"/>
        </w:rPr>
        <w:lastRenderedPageBreak/>
        <w:t>Monitor the adoption progress with Institutional Research partnership.</w:t>
      </w:r>
    </w:p>
    <w:p w14:paraId="68DF3525" w14:textId="3573AAC4" w:rsidR="00024B7E" w:rsidRDefault="00024B7E" w:rsidP="00CB0E1F">
      <w:pPr>
        <w:pStyle w:val="ListParagraph"/>
        <w:numPr>
          <w:ilvl w:val="0"/>
          <w:numId w:val="4"/>
        </w:numPr>
        <w:spacing w:after="0"/>
        <w:rPr>
          <w:rFonts w:ascii="Book Antiqua" w:hAnsi="Book Antiqua"/>
        </w:rPr>
      </w:pPr>
      <w:r>
        <w:rPr>
          <w:rFonts w:ascii="Book Antiqua" w:hAnsi="Book Antiqua"/>
        </w:rPr>
        <w:t>Enhancement of the textbook adoption website</w:t>
      </w:r>
    </w:p>
    <w:p w14:paraId="2E7710C7" w14:textId="02FF8F68" w:rsidR="00024B7E" w:rsidRDefault="00024B7E" w:rsidP="00CB0E1F">
      <w:pPr>
        <w:pStyle w:val="ListParagraph"/>
        <w:numPr>
          <w:ilvl w:val="0"/>
          <w:numId w:val="4"/>
        </w:numPr>
        <w:spacing w:after="0"/>
        <w:rPr>
          <w:rFonts w:ascii="Book Antiqua" w:hAnsi="Book Antiqua"/>
        </w:rPr>
      </w:pPr>
      <w:r>
        <w:rPr>
          <w:rFonts w:ascii="Book Antiqua" w:hAnsi="Book Antiqua"/>
        </w:rPr>
        <w:t>Increase communication to deans and department chairs through advance notice reminder emails, as well as community collaboration across campus.</w:t>
      </w:r>
    </w:p>
    <w:p w14:paraId="212D3A3C" w14:textId="1C5B92E3" w:rsidR="00024B7E" w:rsidRPr="00CB0E1F" w:rsidRDefault="00024B7E" w:rsidP="009F131C">
      <w:pPr>
        <w:pStyle w:val="ListParagraph"/>
        <w:numPr>
          <w:ilvl w:val="0"/>
          <w:numId w:val="4"/>
        </w:numPr>
        <w:rPr>
          <w:rFonts w:ascii="Book Antiqua" w:hAnsi="Book Antiqua"/>
        </w:rPr>
      </w:pPr>
      <w:r>
        <w:rPr>
          <w:rFonts w:ascii="Book Antiqua" w:hAnsi="Book Antiqua"/>
        </w:rPr>
        <w:t>Provost</w:t>
      </w:r>
      <w:r w:rsidR="009D0FF1">
        <w:rPr>
          <w:rFonts w:ascii="Book Antiqua" w:hAnsi="Book Antiqua"/>
        </w:rPr>
        <w:t xml:space="preserve"> </w:t>
      </w:r>
      <w:r>
        <w:rPr>
          <w:rFonts w:ascii="Book Antiqua" w:hAnsi="Book Antiqua"/>
        </w:rPr>
        <w:t xml:space="preserve">approval will be required for post-deadline adoptions </w:t>
      </w:r>
      <w:r w:rsidR="009D0FF1">
        <w:rPr>
          <w:rFonts w:ascii="Book Antiqua" w:hAnsi="Book Antiqua"/>
        </w:rPr>
        <w:t>to emphasize the importance.</w:t>
      </w:r>
    </w:p>
    <w:p w14:paraId="2D7FA6B3" w14:textId="2158CA99" w:rsidR="005D320A" w:rsidRPr="005D320A" w:rsidRDefault="005D320A" w:rsidP="005D320A">
      <w:pPr>
        <w:numPr>
          <w:ilvl w:val="0"/>
          <w:numId w:val="1"/>
        </w:numPr>
        <w:spacing w:after="0"/>
        <w:ind w:left="1800"/>
        <w:contextualSpacing/>
        <w:rPr>
          <w:rFonts w:ascii="Book Antiqua" w:hAnsi="Book Antiqua"/>
        </w:rPr>
      </w:pPr>
      <w:r w:rsidRPr="005D320A">
        <w:rPr>
          <w:rFonts w:ascii="Book Antiqua" w:hAnsi="Book Antiqua"/>
        </w:rPr>
        <w:t>The number of courses and course sections that were not able to meet the posting deadline for the previous academic year.</w:t>
      </w:r>
      <w:r w:rsidR="004F1538">
        <w:rPr>
          <w:rFonts w:ascii="Book Antiqua" w:hAnsi="Book Antiqua"/>
        </w:rPr>
        <w:t xml:space="preserve"> In Fall 2022, the percentage of courses in compliance of the 45-day requirement was 95.45% This percentage increased in the Spring 2023, to 97.32%. Provost Patterson noted the effective compliance efforts and collaboration of UNF faculty. </w:t>
      </w:r>
    </w:p>
    <w:p w14:paraId="152AE298" w14:textId="77777777" w:rsidR="005D320A" w:rsidRPr="005D320A" w:rsidRDefault="005D320A" w:rsidP="005D320A">
      <w:pPr>
        <w:spacing w:after="0"/>
        <w:ind w:left="1440"/>
        <w:rPr>
          <w:rFonts w:ascii="Book Antiqua" w:hAnsi="Book Antiqua"/>
        </w:rPr>
      </w:pPr>
    </w:p>
    <w:p w14:paraId="4A0ADD7A" w14:textId="6EE856DA" w:rsidR="00B47F83" w:rsidRPr="005D320A" w:rsidRDefault="004F1538" w:rsidP="00156CC5">
      <w:pPr>
        <w:spacing w:after="0"/>
        <w:ind w:left="1440"/>
        <w:rPr>
          <w:rFonts w:ascii="Book Antiqua" w:hAnsi="Book Antiqua"/>
        </w:rPr>
      </w:pPr>
      <w:r>
        <w:rPr>
          <w:rFonts w:ascii="Book Antiqua" w:hAnsi="Book Antiqua"/>
        </w:rPr>
        <w:t>Chair Egan thanked Provost Patterson and her team for all their efforts. Trustee Binder asked if it were true that statistics</w:t>
      </w:r>
      <w:r w:rsidR="00156CC5">
        <w:rPr>
          <w:rFonts w:ascii="Book Antiqua" w:hAnsi="Book Antiqua"/>
        </w:rPr>
        <w:t xml:space="preserve"> where faculty did not meet the 45-day deadline,</w:t>
      </w:r>
      <w:r>
        <w:rPr>
          <w:rFonts w:ascii="Book Antiqua" w:hAnsi="Book Antiqua"/>
        </w:rPr>
        <w:t xml:space="preserve"> were due to the circumstance</w:t>
      </w:r>
      <w:r w:rsidR="00156CC5">
        <w:rPr>
          <w:rFonts w:ascii="Book Antiqua" w:hAnsi="Book Antiqua"/>
        </w:rPr>
        <w:t>s</w:t>
      </w:r>
      <w:r>
        <w:rPr>
          <w:rFonts w:ascii="Book Antiqua" w:hAnsi="Book Antiqua"/>
        </w:rPr>
        <w:t xml:space="preserve"> of faculty not being assigned to classes. Provost Patterson </w:t>
      </w:r>
      <w:r w:rsidR="00156CC5">
        <w:rPr>
          <w:rFonts w:ascii="Book Antiqua" w:hAnsi="Book Antiqua"/>
        </w:rPr>
        <w:t>agreed and noted it can be</w:t>
      </w:r>
      <w:r>
        <w:rPr>
          <w:rFonts w:ascii="Book Antiqua" w:hAnsi="Book Antiqua"/>
        </w:rPr>
        <w:t xml:space="preserve"> related to last-minute </w:t>
      </w:r>
      <w:r w:rsidR="00156CC5">
        <w:rPr>
          <w:rFonts w:ascii="Book Antiqua" w:hAnsi="Book Antiqua"/>
        </w:rPr>
        <w:t xml:space="preserve">faculty or course </w:t>
      </w:r>
      <w:r>
        <w:rPr>
          <w:rFonts w:ascii="Book Antiqua" w:hAnsi="Book Antiqua"/>
        </w:rPr>
        <w:t xml:space="preserve">changes, and </w:t>
      </w:r>
      <w:r w:rsidR="00156CC5">
        <w:rPr>
          <w:rFonts w:ascii="Book Antiqua" w:hAnsi="Book Antiqua"/>
        </w:rPr>
        <w:t xml:space="preserve">otherwise unpreventable factors. </w:t>
      </w:r>
      <w:r w:rsidR="00B47F83">
        <w:rPr>
          <w:rFonts w:ascii="Book Antiqua" w:hAnsi="Book Antiqua"/>
        </w:rPr>
        <w:t xml:space="preserve">Trustee McElroy asked about how to maintain quality control </w:t>
      </w:r>
      <w:r w:rsidR="00156CC5">
        <w:rPr>
          <w:rFonts w:ascii="Book Antiqua" w:hAnsi="Book Antiqua"/>
        </w:rPr>
        <w:t>in terms of</w:t>
      </w:r>
      <w:r w:rsidR="00B47F83">
        <w:rPr>
          <w:rFonts w:ascii="Book Antiqua" w:hAnsi="Book Antiqua"/>
        </w:rPr>
        <w:t xml:space="preserve"> lowering the costs of textbooks and educational materials.</w:t>
      </w:r>
      <w:r w:rsidR="00156CC5">
        <w:rPr>
          <w:rFonts w:ascii="Book Antiqua" w:hAnsi="Book Antiqua"/>
        </w:rPr>
        <w:t xml:space="preserve"> Provost Patterson indicated that combinations of textbook selection methods are helpful. For example, in </w:t>
      </w:r>
      <w:r w:rsidR="00613DAF">
        <w:rPr>
          <w:rFonts w:ascii="Book Antiqua" w:hAnsi="Book Antiqua"/>
        </w:rPr>
        <w:t>Gen-Ed</w:t>
      </w:r>
      <w:r w:rsidR="00156CC5">
        <w:rPr>
          <w:rFonts w:ascii="Book Antiqua" w:hAnsi="Book Antiqua"/>
        </w:rPr>
        <w:t xml:space="preserve"> courses, oftentimes a committee will review and determine which textbook will be used</w:t>
      </w:r>
      <w:r w:rsidR="00E50D59">
        <w:rPr>
          <w:rFonts w:ascii="Book Antiqua" w:hAnsi="Book Antiqua"/>
        </w:rPr>
        <w:t xml:space="preserve">. Thus, this ensures newly hired faculty will not be allowed to pick any book, to ensure it will cover the material and certain aspects of the course curriculum. </w:t>
      </w:r>
      <w:r w:rsidR="00613DAF">
        <w:rPr>
          <w:rFonts w:ascii="Book Antiqua" w:hAnsi="Book Antiqua"/>
        </w:rPr>
        <w:t>Additionally, all departments have a Gen-Ed Committee and their program directors monitoring the selection process. President Limayem added</w:t>
      </w:r>
      <w:r w:rsidR="00F717F0">
        <w:rPr>
          <w:rFonts w:ascii="Book Antiqua" w:hAnsi="Book Antiqua"/>
        </w:rPr>
        <w:t xml:space="preserve"> the publishing industry has accounted for inflation by creating less expensive digital versions, as well as the option for students to purchase individual chapters. </w:t>
      </w:r>
      <w:r w:rsidR="00613DAF">
        <w:rPr>
          <w:rFonts w:ascii="Book Antiqua" w:hAnsi="Book Antiqua"/>
        </w:rPr>
        <w:t xml:space="preserve"> </w:t>
      </w:r>
    </w:p>
    <w:p w14:paraId="204D669B" w14:textId="0EC28FD8" w:rsidR="005D320A" w:rsidRDefault="005D320A" w:rsidP="005D320A">
      <w:pPr>
        <w:spacing w:after="0"/>
        <w:ind w:left="1440"/>
        <w:rPr>
          <w:rFonts w:ascii="Book Antiqua" w:hAnsi="Book Antiqua"/>
        </w:rPr>
      </w:pPr>
    </w:p>
    <w:p w14:paraId="5914FCA0" w14:textId="05282165" w:rsidR="006C4AB0" w:rsidRPr="005D320A" w:rsidRDefault="006C4AB0" w:rsidP="005D320A">
      <w:pPr>
        <w:spacing w:after="0"/>
        <w:ind w:left="1440"/>
        <w:rPr>
          <w:rFonts w:ascii="Book Antiqua" w:hAnsi="Book Antiqua"/>
        </w:rPr>
      </w:pPr>
      <w:r>
        <w:rPr>
          <w:rFonts w:ascii="Book Antiqua" w:hAnsi="Book Antiqua"/>
        </w:rPr>
        <w:t xml:space="preserve">Hearing no questions, </w:t>
      </w:r>
      <w:r w:rsidRPr="006C4AB0">
        <w:rPr>
          <w:rFonts w:ascii="Book Antiqua" w:hAnsi="Book Antiqua"/>
        </w:rPr>
        <w:t xml:space="preserve">Chair Egan asked for a MOTION to approve the </w:t>
      </w:r>
      <w:r>
        <w:rPr>
          <w:rFonts w:ascii="Book Antiqua" w:hAnsi="Book Antiqua"/>
        </w:rPr>
        <w:t>textbook and instructional affordability report</w:t>
      </w:r>
      <w:r w:rsidRPr="006C4AB0">
        <w:rPr>
          <w:rFonts w:ascii="Book Antiqua" w:hAnsi="Book Antiqua"/>
        </w:rPr>
        <w:t xml:space="preserve">. </w:t>
      </w:r>
      <w:r>
        <w:rPr>
          <w:rFonts w:ascii="Book Antiqua" w:hAnsi="Book Antiqua"/>
        </w:rPr>
        <w:t>Trustee Grosso</w:t>
      </w:r>
      <w:r w:rsidRPr="006C4AB0">
        <w:rPr>
          <w:rFonts w:ascii="Book Antiqua" w:hAnsi="Book Antiqua"/>
        </w:rPr>
        <w:t xml:space="preserve"> made a MOTION to APPROVE and </w:t>
      </w:r>
      <w:r>
        <w:rPr>
          <w:rFonts w:ascii="Book Antiqua" w:hAnsi="Book Antiqua"/>
        </w:rPr>
        <w:t>Chair Hyde</w:t>
      </w:r>
      <w:r w:rsidRPr="006C4AB0">
        <w:rPr>
          <w:rFonts w:ascii="Book Antiqua" w:hAnsi="Book Antiqua"/>
        </w:rPr>
        <w:t xml:space="preserve"> SECONDED. The committee unanimously approved the motion.</w:t>
      </w:r>
    </w:p>
    <w:p w14:paraId="6A89DC62" w14:textId="33FADB50" w:rsidR="005D320A" w:rsidRPr="005D320A" w:rsidRDefault="005D320A" w:rsidP="005D320A">
      <w:pPr>
        <w:spacing w:after="0"/>
        <w:rPr>
          <w:rFonts w:ascii="Book Antiqua" w:hAnsi="Book Antiqua"/>
        </w:rPr>
      </w:pPr>
      <w:bookmarkStart w:id="4" w:name="_Hlk141347435"/>
    </w:p>
    <w:bookmarkEnd w:id="4"/>
    <w:p w14:paraId="45D88ED7"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7</w:t>
      </w:r>
      <w:r w:rsidRPr="005D320A">
        <w:rPr>
          <w:rFonts w:ascii="Book Antiqua" w:hAnsi="Book Antiqua"/>
          <w:b/>
          <w:bCs/>
        </w:rPr>
        <w:tab/>
        <w:t xml:space="preserve">Performance-based Funding Recruitment and Retention Incentives </w:t>
      </w:r>
    </w:p>
    <w:p w14:paraId="7EAB9747" w14:textId="5D9FDED2" w:rsidR="00D012B6" w:rsidRDefault="00614463" w:rsidP="00A542A2">
      <w:pPr>
        <w:spacing w:after="0"/>
        <w:ind w:left="1440"/>
        <w:rPr>
          <w:rFonts w:ascii="Book Antiqua" w:hAnsi="Book Antiqua"/>
        </w:rPr>
      </w:pPr>
      <w:r w:rsidRPr="005D320A">
        <w:rPr>
          <w:rFonts w:ascii="Book Antiqua" w:hAnsi="Book Antiqua"/>
        </w:rPr>
        <w:t xml:space="preserve">Dr. John Kantner, Sr. Associate Provost of Faculty &amp; Research, </w:t>
      </w:r>
      <w:r>
        <w:rPr>
          <w:rFonts w:ascii="Book Antiqua" w:hAnsi="Book Antiqua"/>
        </w:rPr>
        <w:t>presented</w:t>
      </w:r>
      <w:r w:rsidRPr="005D320A">
        <w:rPr>
          <w:rFonts w:ascii="Book Antiqua" w:hAnsi="Book Antiqua"/>
        </w:rPr>
        <w:t xml:space="preserve"> the proposed budget for </w:t>
      </w:r>
      <w:r>
        <w:rPr>
          <w:rFonts w:ascii="Book Antiqua" w:hAnsi="Book Antiqua"/>
        </w:rPr>
        <w:t>performance-based</w:t>
      </w:r>
      <w:r w:rsidRPr="005D320A">
        <w:rPr>
          <w:rFonts w:ascii="Book Antiqua" w:hAnsi="Book Antiqua"/>
        </w:rPr>
        <w:t xml:space="preserve"> funding for information purposes.</w:t>
      </w:r>
    </w:p>
    <w:p w14:paraId="32F1F462" w14:textId="73B0E7F6" w:rsidR="00F92B4E" w:rsidRDefault="00A542A2" w:rsidP="009F131C">
      <w:pPr>
        <w:ind w:left="1440"/>
        <w:rPr>
          <w:rFonts w:ascii="Book Antiqua" w:hAnsi="Book Antiqua"/>
        </w:rPr>
      </w:pPr>
      <w:r>
        <w:rPr>
          <w:rFonts w:ascii="Book Antiqua" w:hAnsi="Book Antiqua"/>
        </w:rPr>
        <w:t xml:space="preserve">In fiscal year 2024, </w:t>
      </w:r>
      <w:r w:rsidR="005D320A" w:rsidRPr="005D320A">
        <w:rPr>
          <w:rFonts w:ascii="Book Antiqua" w:hAnsi="Book Antiqua"/>
        </w:rPr>
        <w:t>General Appropriations Act included $100 million in non-recurring funds for the recruitment and retention of university full-time instruction and research personnel, of which UNF’s share is $10 million</w:t>
      </w:r>
      <w:r w:rsidR="00D012B6">
        <w:rPr>
          <w:rFonts w:ascii="Book Antiqua" w:hAnsi="Book Antiqua"/>
        </w:rPr>
        <w:t>.</w:t>
      </w:r>
      <w:r>
        <w:rPr>
          <w:rFonts w:ascii="Book Antiqua" w:hAnsi="Book Antiqua"/>
        </w:rPr>
        <w:t xml:space="preserve"> </w:t>
      </w:r>
      <w:r w:rsidR="00204693">
        <w:rPr>
          <w:rFonts w:ascii="Book Antiqua" w:hAnsi="Book Antiqua"/>
        </w:rPr>
        <w:t>A mandatory budget with proposed expenditures consistent with the statute was submitted to the BOG on September 1</w:t>
      </w:r>
      <w:r w:rsidR="00204693" w:rsidRPr="00204693">
        <w:rPr>
          <w:rFonts w:ascii="Book Antiqua" w:hAnsi="Book Antiqua"/>
          <w:vertAlign w:val="superscript"/>
        </w:rPr>
        <w:t>st</w:t>
      </w:r>
      <w:r w:rsidR="00204693">
        <w:rPr>
          <w:rFonts w:ascii="Book Antiqua" w:hAnsi="Book Antiqua"/>
        </w:rPr>
        <w:t>.</w:t>
      </w:r>
      <w:r w:rsidR="009544EA">
        <w:rPr>
          <w:rFonts w:ascii="Book Antiqua" w:hAnsi="Book Antiqua"/>
        </w:rPr>
        <w:t xml:space="preserve"> </w:t>
      </w:r>
      <w:r w:rsidR="00F92B4E">
        <w:rPr>
          <w:rFonts w:ascii="Book Antiqua" w:hAnsi="Book Antiqua"/>
        </w:rPr>
        <w:t xml:space="preserve">Dr. Kantner highlighted </w:t>
      </w:r>
      <w:r w:rsidR="009544EA">
        <w:rPr>
          <w:rFonts w:ascii="Book Antiqua" w:hAnsi="Book Antiqua"/>
        </w:rPr>
        <w:t xml:space="preserve">details of </w:t>
      </w:r>
      <w:r w:rsidR="00F92B4E">
        <w:rPr>
          <w:rFonts w:ascii="Book Antiqua" w:hAnsi="Book Antiqua"/>
        </w:rPr>
        <w:t xml:space="preserve">the </w:t>
      </w:r>
      <w:r w:rsidR="009544EA">
        <w:rPr>
          <w:rFonts w:ascii="Book Antiqua" w:hAnsi="Book Antiqua"/>
        </w:rPr>
        <w:t>proposed spending plan</w:t>
      </w:r>
      <w:r w:rsidR="00F92B4E">
        <w:rPr>
          <w:rFonts w:ascii="Book Antiqua" w:hAnsi="Book Antiqua"/>
        </w:rPr>
        <w:t>:</w:t>
      </w:r>
    </w:p>
    <w:p w14:paraId="5C7319DF" w14:textId="61EFDEC0" w:rsidR="00F92B4E" w:rsidRPr="00F92B4E" w:rsidRDefault="00F92B4E" w:rsidP="00F92B4E">
      <w:pPr>
        <w:pStyle w:val="ListParagraph"/>
        <w:numPr>
          <w:ilvl w:val="0"/>
          <w:numId w:val="5"/>
        </w:numPr>
        <w:spacing w:after="0"/>
        <w:rPr>
          <w:rFonts w:ascii="Book Antiqua" w:hAnsi="Book Antiqua"/>
          <w:b/>
          <w:bCs/>
        </w:rPr>
      </w:pPr>
      <w:r w:rsidRPr="00F92B4E">
        <w:rPr>
          <w:rFonts w:ascii="Book Antiqua" w:hAnsi="Book Antiqua"/>
          <w:b/>
          <w:bCs/>
        </w:rPr>
        <w:t>RSCA Support Initiatives - $2,900,000</w:t>
      </w:r>
    </w:p>
    <w:p w14:paraId="4A4155EC" w14:textId="57AE2388" w:rsidR="00F92B4E" w:rsidRDefault="00F92B4E" w:rsidP="00F92B4E">
      <w:pPr>
        <w:spacing w:after="0"/>
        <w:ind w:left="2160"/>
        <w:rPr>
          <w:rFonts w:ascii="Book Antiqua" w:hAnsi="Book Antiqua"/>
        </w:rPr>
      </w:pPr>
      <w:r>
        <w:rPr>
          <w:rFonts w:ascii="Book Antiqua" w:hAnsi="Book Antiqua"/>
        </w:rPr>
        <w:t>I</w:t>
      </w:r>
      <w:r w:rsidRPr="00F92B4E">
        <w:rPr>
          <w:rFonts w:ascii="Book Antiqua" w:hAnsi="Book Antiqua"/>
        </w:rPr>
        <w:t>nvestment in infrastructure, equipment, and other initiatives support faculty research,</w:t>
      </w:r>
      <w:r>
        <w:rPr>
          <w:rFonts w:ascii="Book Antiqua" w:hAnsi="Book Antiqua"/>
        </w:rPr>
        <w:t xml:space="preserve"> </w:t>
      </w:r>
      <w:r w:rsidRPr="00F92B4E">
        <w:rPr>
          <w:rFonts w:ascii="Book Antiqua" w:hAnsi="Book Antiqua"/>
        </w:rPr>
        <w:t>scholarship, and creative activities</w:t>
      </w:r>
      <w:r w:rsidR="00422BE4">
        <w:rPr>
          <w:rFonts w:ascii="Book Antiqua" w:hAnsi="Book Antiqua"/>
        </w:rPr>
        <w:t xml:space="preserve"> (RSCA)</w:t>
      </w:r>
      <w:r w:rsidRPr="00F92B4E">
        <w:rPr>
          <w:rFonts w:ascii="Book Antiqua" w:hAnsi="Book Antiqua"/>
        </w:rPr>
        <w:t>. This helps to recruit</w:t>
      </w:r>
      <w:r>
        <w:rPr>
          <w:rFonts w:ascii="Book Antiqua" w:hAnsi="Book Antiqua"/>
        </w:rPr>
        <w:t xml:space="preserve"> </w:t>
      </w:r>
      <w:r w:rsidRPr="00F92B4E">
        <w:rPr>
          <w:rFonts w:ascii="Book Antiqua" w:hAnsi="Book Antiqua"/>
        </w:rPr>
        <w:t>and retain faculty by supporting</w:t>
      </w:r>
      <w:r>
        <w:rPr>
          <w:rFonts w:ascii="Book Antiqua" w:hAnsi="Book Antiqua"/>
        </w:rPr>
        <w:t xml:space="preserve"> </w:t>
      </w:r>
      <w:r w:rsidRPr="00F92B4E">
        <w:rPr>
          <w:rFonts w:ascii="Book Antiqua" w:hAnsi="Book Antiqua"/>
        </w:rPr>
        <w:t>their needs and signaling UNF's commitment to their RSCA.</w:t>
      </w:r>
    </w:p>
    <w:p w14:paraId="5AF2754F" w14:textId="7B89E7B1" w:rsidR="00F92B4E" w:rsidRDefault="009544EA" w:rsidP="00F92B4E">
      <w:pPr>
        <w:pStyle w:val="ListParagraph"/>
        <w:numPr>
          <w:ilvl w:val="0"/>
          <w:numId w:val="5"/>
        </w:numPr>
        <w:spacing w:after="0"/>
        <w:rPr>
          <w:rFonts w:ascii="Book Antiqua" w:hAnsi="Book Antiqua"/>
        </w:rPr>
      </w:pPr>
      <w:r>
        <w:rPr>
          <w:rFonts w:ascii="Book Antiqua" w:hAnsi="Book Antiqua"/>
          <w:b/>
          <w:bCs/>
        </w:rPr>
        <w:t xml:space="preserve">Faculty Startup </w:t>
      </w:r>
      <w:r w:rsidRPr="009544EA">
        <w:rPr>
          <w:rFonts w:ascii="Book Antiqua" w:hAnsi="Book Antiqua"/>
          <w:b/>
          <w:bCs/>
        </w:rPr>
        <w:t>Packages - $3,114,415</w:t>
      </w:r>
    </w:p>
    <w:p w14:paraId="748A6D14" w14:textId="519DB8FE" w:rsidR="009544EA" w:rsidRDefault="009544EA" w:rsidP="009544EA">
      <w:pPr>
        <w:pStyle w:val="ListParagraph"/>
        <w:spacing w:after="0"/>
        <w:ind w:left="2160"/>
        <w:rPr>
          <w:rFonts w:ascii="Book Antiqua" w:hAnsi="Book Antiqua"/>
        </w:rPr>
      </w:pPr>
      <w:r w:rsidRPr="009544EA">
        <w:rPr>
          <w:rFonts w:ascii="Book Antiqua" w:hAnsi="Book Antiqua"/>
        </w:rPr>
        <w:t>Startup packages are necessary to compete with other universities for recruiting</w:t>
      </w:r>
      <w:r>
        <w:rPr>
          <w:rFonts w:ascii="Book Antiqua" w:hAnsi="Book Antiqua"/>
        </w:rPr>
        <w:t xml:space="preserve"> </w:t>
      </w:r>
      <w:r w:rsidRPr="009544EA">
        <w:rPr>
          <w:rFonts w:ascii="Book Antiqua" w:hAnsi="Book Antiqua"/>
        </w:rPr>
        <w:t>excellent faculty, and to get their RSCA agendas launched so that they will be</w:t>
      </w:r>
      <w:r>
        <w:rPr>
          <w:rFonts w:ascii="Book Antiqua" w:hAnsi="Book Antiqua"/>
        </w:rPr>
        <w:t xml:space="preserve"> </w:t>
      </w:r>
      <w:r w:rsidRPr="009544EA">
        <w:rPr>
          <w:rFonts w:ascii="Book Antiqua" w:hAnsi="Book Antiqua"/>
        </w:rPr>
        <w:t>competitive for external funding.</w:t>
      </w:r>
    </w:p>
    <w:p w14:paraId="2ACED1B3" w14:textId="120C60BB" w:rsidR="009544EA" w:rsidRPr="009544EA" w:rsidRDefault="009544EA" w:rsidP="009544EA">
      <w:pPr>
        <w:pStyle w:val="ListParagraph"/>
        <w:numPr>
          <w:ilvl w:val="0"/>
          <w:numId w:val="5"/>
        </w:numPr>
        <w:spacing w:after="0"/>
        <w:rPr>
          <w:rFonts w:ascii="Book Antiqua" w:hAnsi="Book Antiqua"/>
        </w:rPr>
      </w:pPr>
      <w:r>
        <w:rPr>
          <w:rFonts w:ascii="Book Antiqua" w:hAnsi="Book Antiqua"/>
          <w:b/>
          <w:bCs/>
        </w:rPr>
        <w:t>Faculty Fellow Stipends - $150,000</w:t>
      </w:r>
    </w:p>
    <w:p w14:paraId="7FE7B175" w14:textId="44692C9E" w:rsidR="009544EA" w:rsidRDefault="009544EA" w:rsidP="009544EA">
      <w:pPr>
        <w:pStyle w:val="ListParagraph"/>
        <w:spacing w:after="0"/>
        <w:ind w:left="2160"/>
        <w:rPr>
          <w:rFonts w:ascii="Book Antiqua" w:hAnsi="Book Antiqua"/>
        </w:rPr>
      </w:pPr>
      <w:r w:rsidRPr="009544EA">
        <w:rPr>
          <w:rFonts w:ascii="Book Antiqua" w:hAnsi="Book Antiqua"/>
        </w:rPr>
        <w:t>The Provost's Faculty Fellows program provides faculty the opportunity to take on</w:t>
      </w:r>
      <w:r>
        <w:rPr>
          <w:rFonts w:ascii="Book Antiqua" w:hAnsi="Book Antiqua"/>
        </w:rPr>
        <w:t xml:space="preserve"> </w:t>
      </w:r>
      <w:r w:rsidRPr="009544EA">
        <w:rPr>
          <w:rFonts w:ascii="Book Antiqua" w:hAnsi="Book Antiqua"/>
        </w:rPr>
        <w:t>specific administrative projects based on their expertise. This enables in-unit faculty to</w:t>
      </w:r>
      <w:r>
        <w:rPr>
          <w:rFonts w:ascii="Book Antiqua" w:hAnsi="Book Antiqua"/>
        </w:rPr>
        <w:t xml:space="preserve"> </w:t>
      </w:r>
      <w:r w:rsidRPr="009544EA">
        <w:rPr>
          <w:rFonts w:ascii="Book Antiqua" w:hAnsi="Book Antiqua"/>
        </w:rPr>
        <w:t>feel invested in the management of the university.</w:t>
      </w:r>
    </w:p>
    <w:p w14:paraId="0421BDD4" w14:textId="208B0DBF" w:rsidR="009544EA" w:rsidRPr="009544EA" w:rsidRDefault="009544EA" w:rsidP="009544EA">
      <w:pPr>
        <w:pStyle w:val="ListParagraph"/>
        <w:numPr>
          <w:ilvl w:val="0"/>
          <w:numId w:val="5"/>
        </w:numPr>
        <w:spacing w:after="0"/>
        <w:rPr>
          <w:rFonts w:ascii="Book Antiqua" w:hAnsi="Book Antiqua"/>
        </w:rPr>
      </w:pPr>
      <w:r>
        <w:rPr>
          <w:rFonts w:ascii="Book Antiqua" w:hAnsi="Book Antiqua"/>
          <w:b/>
          <w:bCs/>
        </w:rPr>
        <w:t>Faculty Recruitment Expenses - $150,000</w:t>
      </w:r>
    </w:p>
    <w:p w14:paraId="32A1371F" w14:textId="119B13CF" w:rsidR="009544EA" w:rsidRDefault="009544EA" w:rsidP="009544EA">
      <w:pPr>
        <w:pStyle w:val="ListParagraph"/>
        <w:spacing w:after="0"/>
        <w:ind w:left="2160"/>
        <w:rPr>
          <w:rFonts w:ascii="Book Antiqua" w:hAnsi="Book Antiqua"/>
        </w:rPr>
      </w:pPr>
      <w:r w:rsidRPr="009544EA">
        <w:rPr>
          <w:rFonts w:ascii="Book Antiqua" w:hAnsi="Book Antiqua"/>
        </w:rPr>
        <w:t>Identifying and successfully recruiting quality faculty requires investments in</w:t>
      </w:r>
      <w:r>
        <w:rPr>
          <w:rFonts w:ascii="Book Antiqua" w:hAnsi="Book Antiqua"/>
        </w:rPr>
        <w:t xml:space="preserve"> </w:t>
      </w:r>
      <w:r w:rsidRPr="009544EA">
        <w:rPr>
          <w:rFonts w:ascii="Book Antiqua" w:hAnsi="Book Antiqua"/>
        </w:rPr>
        <w:t>advertising open positions, sending UNF leaders to disciplinary conferences to recruit, and bringing finalists to campus for on-campus interviews.</w:t>
      </w:r>
    </w:p>
    <w:p w14:paraId="0553A141" w14:textId="2ED7CE04" w:rsidR="009544EA" w:rsidRPr="009544EA" w:rsidRDefault="009544EA" w:rsidP="009544EA">
      <w:pPr>
        <w:pStyle w:val="ListParagraph"/>
        <w:numPr>
          <w:ilvl w:val="0"/>
          <w:numId w:val="5"/>
        </w:numPr>
        <w:spacing w:after="0"/>
        <w:rPr>
          <w:rFonts w:ascii="Book Antiqua" w:hAnsi="Book Antiqua"/>
        </w:rPr>
      </w:pPr>
      <w:r>
        <w:rPr>
          <w:rFonts w:ascii="Book Antiqua" w:hAnsi="Book Antiqua"/>
          <w:b/>
          <w:bCs/>
        </w:rPr>
        <w:t>Visiting Faculty Positions - $2,435,585</w:t>
      </w:r>
    </w:p>
    <w:p w14:paraId="6E96BC73" w14:textId="28072CAC" w:rsidR="009544EA" w:rsidRDefault="009544EA" w:rsidP="009544EA">
      <w:pPr>
        <w:pStyle w:val="ListParagraph"/>
        <w:spacing w:after="0"/>
        <w:ind w:left="2160"/>
        <w:rPr>
          <w:rFonts w:ascii="Book Antiqua" w:hAnsi="Book Antiqua"/>
        </w:rPr>
      </w:pPr>
      <w:r w:rsidRPr="009544EA">
        <w:rPr>
          <w:rFonts w:ascii="Book Antiqua" w:hAnsi="Book Antiqua"/>
        </w:rPr>
        <w:t>Visiting professors bring new perspectives and expertise to UNF, replace faculty who are</w:t>
      </w:r>
      <w:r>
        <w:rPr>
          <w:rFonts w:ascii="Book Antiqua" w:hAnsi="Book Antiqua"/>
        </w:rPr>
        <w:t xml:space="preserve"> </w:t>
      </w:r>
      <w:r w:rsidRPr="009544EA">
        <w:rPr>
          <w:rFonts w:ascii="Book Antiqua" w:hAnsi="Book Antiqua"/>
        </w:rPr>
        <w:t>on sabbaticals or other planned leave, and allow UNF to respond to enrollment growth.</w:t>
      </w:r>
      <w:r>
        <w:rPr>
          <w:rFonts w:ascii="Book Antiqua" w:hAnsi="Book Antiqua"/>
        </w:rPr>
        <w:t xml:space="preserve"> </w:t>
      </w:r>
      <w:r w:rsidRPr="009544EA">
        <w:rPr>
          <w:rFonts w:ascii="Book Antiqua" w:hAnsi="Book Antiqua"/>
        </w:rPr>
        <w:t>Visitors also often become permanent faculty.</w:t>
      </w:r>
    </w:p>
    <w:p w14:paraId="36498552" w14:textId="2E5F876D" w:rsidR="009544EA" w:rsidRPr="009544EA" w:rsidRDefault="009544EA" w:rsidP="009544EA">
      <w:pPr>
        <w:pStyle w:val="ListParagraph"/>
        <w:numPr>
          <w:ilvl w:val="0"/>
          <w:numId w:val="5"/>
        </w:numPr>
        <w:spacing w:after="0"/>
        <w:rPr>
          <w:rFonts w:ascii="Book Antiqua" w:hAnsi="Book Antiqua"/>
        </w:rPr>
      </w:pPr>
      <w:r>
        <w:rPr>
          <w:rFonts w:ascii="Book Antiqua" w:hAnsi="Book Antiqua"/>
          <w:b/>
          <w:bCs/>
        </w:rPr>
        <w:lastRenderedPageBreak/>
        <w:t>Faculty Overloads - $1,250,000</w:t>
      </w:r>
    </w:p>
    <w:p w14:paraId="21DB1C18" w14:textId="5AD2FF99" w:rsidR="009544EA" w:rsidRPr="009544EA" w:rsidRDefault="009544EA" w:rsidP="009544EA">
      <w:pPr>
        <w:pStyle w:val="ListParagraph"/>
        <w:spacing w:after="0"/>
        <w:ind w:left="2160"/>
        <w:rPr>
          <w:rFonts w:ascii="Book Antiqua" w:hAnsi="Book Antiqua"/>
        </w:rPr>
      </w:pPr>
      <w:r w:rsidRPr="009544EA">
        <w:rPr>
          <w:rFonts w:ascii="Book Antiqua" w:hAnsi="Book Antiqua"/>
        </w:rPr>
        <w:t>Overloads allow UNF to cover courses originally assigned to faculty who have unplanned opportunities arise (e.g., contracts, grants, public service). Being able to flex faculty</w:t>
      </w:r>
      <w:r>
        <w:rPr>
          <w:rFonts w:ascii="Book Antiqua" w:hAnsi="Book Antiqua"/>
        </w:rPr>
        <w:t xml:space="preserve"> </w:t>
      </w:r>
      <w:r w:rsidRPr="009544EA">
        <w:rPr>
          <w:rFonts w:ascii="Book Antiqua" w:hAnsi="Book Antiqua"/>
        </w:rPr>
        <w:t>assignments with overloads is important for retaining high-performing faculty.</w:t>
      </w:r>
    </w:p>
    <w:p w14:paraId="570A6888" w14:textId="77777777" w:rsidR="005D320A" w:rsidRPr="005D320A" w:rsidRDefault="005D320A" w:rsidP="005D320A">
      <w:pPr>
        <w:spacing w:after="0"/>
        <w:ind w:left="1440"/>
        <w:rPr>
          <w:rFonts w:ascii="Book Antiqua" w:hAnsi="Book Antiqua"/>
        </w:rPr>
      </w:pPr>
    </w:p>
    <w:p w14:paraId="4559038C" w14:textId="7FC31F69" w:rsidR="005D320A" w:rsidRPr="009544EA" w:rsidRDefault="009544EA" w:rsidP="009544EA">
      <w:pPr>
        <w:spacing w:after="0"/>
        <w:ind w:left="1440"/>
        <w:rPr>
          <w:rFonts w:ascii="Book Antiqua" w:hAnsi="Book Antiqua"/>
        </w:rPr>
      </w:pPr>
      <w:r>
        <w:rPr>
          <w:rFonts w:ascii="Book Antiqua" w:hAnsi="Book Antiqua"/>
        </w:rPr>
        <w:t xml:space="preserve">Trustee Binder asked about the operationalization of the faculty startup packages, and the process for how the funds will be allocated. Dr. Kantner explained that initially departments will ask for an estimated amount of </w:t>
      </w:r>
      <w:r w:rsidR="008B6C69">
        <w:rPr>
          <w:rFonts w:ascii="Book Antiqua" w:hAnsi="Book Antiqua"/>
        </w:rPr>
        <w:t>money</w:t>
      </w:r>
      <w:r>
        <w:rPr>
          <w:rFonts w:ascii="Book Antiqua" w:hAnsi="Book Antiqua"/>
        </w:rPr>
        <w:t xml:space="preserve"> for the startup</w:t>
      </w:r>
      <w:r w:rsidR="00181FA9">
        <w:rPr>
          <w:rFonts w:ascii="Book Antiqua" w:hAnsi="Book Antiqua"/>
        </w:rPr>
        <w:t xml:space="preserve">, then when it is time to recruit the candidate there is a form to be completed that must go through a process of approvals. Trustee Moore inquired if there was flexibility between the presented budget categories. Dr. Kantner stated there has not been a similar allocation in the past, however he suspects that there is a possibility to move the funds between the </w:t>
      </w:r>
      <w:r w:rsidR="004E6BE6">
        <w:rPr>
          <w:rFonts w:ascii="Book Antiqua" w:hAnsi="Book Antiqua"/>
        </w:rPr>
        <w:t>categories, as</w:t>
      </w:r>
      <w:r w:rsidR="00C542CC">
        <w:rPr>
          <w:rFonts w:ascii="Book Antiqua" w:hAnsi="Book Antiqua"/>
        </w:rPr>
        <w:t xml:space="preserve"> long as BOG staff has been properly advised. V</w:t>
      </w:r>
      <w:r w:rsidR="00181FA9">
        <w:rPr>
          <w:rFonts w:ascii="Book Antiqua" w:hAnsi="Book Antiqua"/>
        </w:rPr>
        <w:t xml:space="preserve">P Scott Bennett agreed with Dr. Kantner and added that this is a new process, so we are taking it one step at a time. </w:t>
      </w:r>
    </w:p>
    <w:p w14:paraId="02E9D90C" w14:textId="77777777" w:rsidR="005D320A" w:rsidRPr="005D320A" w:rsidRDefault="005D320A" w:rsidP="005D320A">
      <w:pPr>
        <w:spacing w:after="0"/>
        <w:ind w:left="720" w:firstLine="720"/>
        <w:rPr>
          <w:rFonts w:ascii="Book Antiqua" w:hAnsi="Book Antiqua"/>
        </w:rPr>
      </w:pPr>
    </w:p>
    <w:p w14:paraId="603843E6"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8</w:t>
      </w:r>
      <w:r w:rsidRPr="005D320A">
        <w:rPr>
          <w:rFonts w:ascii="Book Antiqua" w:hAnsi="Book Antiqua"/>
          <w:b/>
          <w:bCs/>
        </w:rPr>
        <w:tab/>
        <w:t>Institute of Environmental Research &amp; Education</w:t>
      </w:r>
    </w:p>
    <w:p w14:paraId="6A5683AC" w14:textId="22C7B899" w:rsidR="00181FA9" w:rsidRDefault="003053FD" w:rsidP="008910F7">
      <w:pPr>
        <w:ind w:left="1440"/>
        <w:rPr>
          <w:rFonts w:ascii="Book Antiqua" w:hAnsi="Book Antiqua"/>
        </w:rPr>
      </w:pPr>
      <w:r>
        <w:rPr>
          <w:rFonts w:ascii="Book Antiqua" w:hAnsi="Book Antiqua"/>
        </w:rPr>
        <w:t>In 2022, t</w:t>
      </w:r>
      <w:r w:rsidRPr="005D320A">
        <w:rPr>
          <w:rFonts w:ascii="Book Antiqua" w:hAnsi="Book Antiqua"/>
        </w:rPr>
        <w:t>he revised BOG Regulation 10.015</w:t>
      </w:r>
      <w:r>
        <w:rPr>
          <w:rFonts w:ascii="Book Antiqua" w:hAnsi="Book Antiqua"/>
        </w:rPr>
        <w:t xml:space="preserve">, </w:t>
      </w:r>
      <w:r w:rsidRPr="005D320A">
        <w:rPr>
          <w:rFonts w:ascii="Book Antiqua" w:hAnsi="Book Antiqua"/>
        </w:rPr>
        <w:t xml:space="preserve">requires that each university center and institute undergo a program review at least once every seven years. UNF’s Institute of Environmental Research and Education recently completed its program review, and </w:t>
      </w:r>
      <w:bookmarkStart w:id="5" w:name="_Hlk145667711"/>
      <w:r w:rsidR="00181FA9" w:rsidRPr="005D320A">
        <w:rPr>
          <w:rFonts w:ascii="Book Antiqua" w:hAnsi="Book Antiqua"/>
        </w:rPr>
        <w:t>Dr. John Kantner, Sr. Associate Provost of Faculty &amp; Research, present</w:t>
      </w:r>
      <w:r w:rsidR="00181FA9">
        <w:rPr>
          <w:rFonts w:ascii="Book Antiqua" w:hAnsi="Book Antiqua"/>
        </w:rPr>
        <w:t>ed</w:t>
      </w:r>
      <w:r w:rsidR="00181FA9" w:rsidRPr="005D320A">
        <w:rPr>
          <w:rFonts w:ascii="Book Antiqua" w:hAnsi="Book Antiqua"/>
        </w:rPr>
        <w:t xml:space="preserve"> a summary of </w:t>
      </w:r>
      <w:r w:rsidR="00181FA9">
        <w:rPr>
          <w:rFonts w:ascii="Book Antiqua" w:hAnsi="Book Antiqua"/>
        </w:rPr>
        <w:t xml:space="preserve">the </w:t>
      </w:r>
      <w:r>
        <w:rPr>
          <w:rFonts w:ascii="Book Antiqua" w:hAnsi="Book Antiqua"/>
        </w:rPr>
        <w:t>IERE seven-year review</w:t>
      </w:r>
      <w:r w:rsidR="00181FA9">
        <w:rPr>
          <w:rFonts w:ascii="Book Antiqua" w:hAnsi="Book Antiqua"/>
        </w:rPr>
        <w:t>.</w:t>
      </w:r>
      <w:r>
        <w:rPr>
          <w:rFonts w:ascii="Book Antiqua" w:hAnsi="Book Antiqua"/>
        </w:rPr>
        <w:t xml:space="preserve"> </w:t>
      </w:r>
      <w:bookmarkEnd w:id="5"/>
    </w:p>
    <w:p w14:paraId="3797E571" w14:textId="5EF6364D" w:rsidR="003053FD" w:rsidRDefault="003053FD" w:rsidP="003053FD">
      <w:pPr>
        <w:pStyle w:val="ListParagraph"/>
        <w:numPr>
          <w:ilvl w:val="0"/>
          <w:numId w:val="5"/>
        </w:numPr>
        <w:spacing w:after="0"/>
        <w:rPr>
          <w:rFonts w:ascii="Book Antiqua" w:hAnsi="Book Antiqua"/>
        </w:rPr>
      </w:pPr>
      <w:r w:rsidRPr="003053FD">
        <w:rPr>
          <w:rFonts w:ascii="Book Antiqua" w:hAnsi="Book Antiqua"/>
          <w:b/>
          <w:bCs/>
        </w:rPr>
        <w:t xml:space="preserve">IERE’s </w:t>
      </w:r>
      <w:r w:rsidR="00475E9A">
        <w:rPr>
          <w:rFonts w:ascii="Book Antiqua" w:hAnsi="Book Antiqua"/>
          <w:b/>
          <w:bCs/>
        </w:rPr>
        <w:t>m</w:t>
      </w:r>
      <w:r w:rsidRPr="003053FD">
        <w:rPr>
          <w:rFonts w:ascii="Book Antiqua" w:hAnsi="Book Antiqua"/>
          <w:b/>
          <w:bCs/>
        </w:rPr>
        <w:t>ission</w:t>
      </w:r>
      <w:r w:rsidRPr="003053FD">
        <w:rPr>
          <w:rFonts w:ascii="Book Antiqua" w:hAnsi="Book Antiqua"/>
        </w:rPr>
        <w:t xml:space="preserve"> </w:t>
      </w:r>
      <w:r>
        <w:rPr>
          <w:rFonts w:ascii="Book Antiqua" w:hAnsi="Book Antiqua"/>
        </w:rPr>
        <w:t>“</w:t>
      </w:r>
      <w:r w:rsidRPr="003053FD">
        <w:rPr>
          <w:rFonts w:ascii="Book Antiqua" w:hAnsi="Book Antiqua"/>
        </w:rPr>
        <w:t>is to establish, develop, and support inter-disciplinary education and research related to the environment through 3 strategic pathways – research, co-curricular student programs, and curriculum.”</w:t>
      </w:r>
    </w:p>
    <w:p w14:paraId="1D8F27D4" w14:textId="642288AC" w:rsidR="003053FD" w:rsidRPr="003053FD" w:rsidRDefault="003053FD" w:rsidP="003053FD">
      <w:pPr>
        <w:pStyle w:val="ListParagraph"/>
        <w:numPr>
          <w:ilvl w:val="0"/>
          <w:numId w:val="5"/>
        </w:numPr>
        <w:spacing w:after="0"/>
        <w:rPr>
          <w:rFonts w:ascii="Book Antiqua" w:hAnsi="Book Antiqua"/>
        </w:rPr>
      </w:pPr>
      <w:r>
        <w:rPr>
          <w:rFonts w:ascii="Book Antiqua" w:hAnsi="Book Antiqua"/>
          <w:b/>
          <w:bCs/>
        </w:rPr>
        <w:t>Examples of IERE programs and initiatives</w:t>
      </w:r>
    </w:p>
    <w:p w14:paraId="1BE21F54" w14:textId="727A7DD6" w:rsidR="003053FD" w:rsidRDefault="003053FD" w:rsidP="003053FD">
      <w:pPr>
        <w:spacing w:after="0"/>
        <w:ind w:left="2160"/>
        <w:rPr>
          <w:rFonts w:ascii="Book Antiqua" w:hAnsi="Book Antiqua"/>
        </w:rPr>
      </w:pPr>
      <w:r>
        <w:rPr>
          <w:rFonts w:ascii="Book Antiqua" w:hAnsi="Book Antiqua"/>
        </w:rPr>
        <w:t xml:space="preserve">IERE Environmental Seed Grants, Environmental Leadership Program, Sustainability Living Learning Community, </w:t>
      </w:r>
      <w:r w:rsidR="00475E9A">
        <w:rPr>
          <w:rFonts w:ascii="Book Antiqua" w:hAnsi="Book Antiqua"/>
        </w:rPr>
        <w:t xml:space="preserve">and </w:t>
      </w:r>
      <w:r>
        <w:rPr>
          <w:rFonts w:ascii="Book Antiqua" w:hAnsi="Book Antiqua"/>
        </w:rPr>
        <w:t>Environmental Studies</w:t>
      </w:r>
      <w:r w:rsidR="00475E9A">
        <w:rPr>
          <w:rFonts w:ascii="Book Antiqua" w:hAnsi="Book Antiqua"/>
        </w:rPr>
        <w:t>.</w:t>
      </w:r>
    </w:p>
    <w:p w14:paraId="6C1F5A7E" w14:textId="268E20C2" w:rsidR="00475E9A" w:rsidRPr="00475E9A" w:rsidRDefault="00475E9A" w:rsidP="00475E9A">
      <w:pPr>
        <w:pStyle w:val="ListParagraph"/>
        <w:numPr>
          <w:ilvl w:val="0"/>
          <w:numId w:val="5"/>
        </w:numPr>
        <w:spacing w:after="0"/>
        <w:rPr>
          <w:rFonts w:ascii="Book Antiqua" w:hAnsi="Book Antiqua"/>
          <w:b/>
          <w:bCs/>
        </w:rPr>
      </w:pPr>
      <w:r w:rsidRPr="00475E9A">
        <w:rPr>
          <w:rFonts w:ascii="Book Antiqua" w:hAnsi="Book Antiqua"/>
          <w:b/>
          <w:bCs/>
        </w:rPr>
        <w:t>GPA</w:t>
      </w:r>
      <w:r>
        <w:rPr>
          <w:rFonts w:ascii="Book Antiqua" w:hAnsi="Book Antiqua"/>
          <w:b/>
          <w:bCs/>
        </w:rPr>
        <w:t xml:space="preserve">: </w:t>
      </w:r>
      <w:r w:rsidRPr="00475E9A">
        <w:rPr>
          <w:rFonts w:ascii="Book Antiqua" w:hAnsi="Book Antiqua"/>
        </w:rPr>
        <w:t>IERE undergrad – 3.40 versus UNF undergrad – 3.06</w:t>
      </w:r>
    </w:p>
    <w:p w14:paraId="358B84D3" w14:textId="42885248" w:rsidR="00475E9A" w:rsidRPr="00475E9A" w:rsidRDefault="00475E9A" w:rsidP="00475E9A">
      <w:pPr>
        <w:pStyle w:val="ListParagraph"/>
        <w:numPr>
          <w:ilvl w:val="0"/>
          <w:numId w:val="5"/>
        </w:numPr>
        <w:spacing w:after="0"/>
        <w:rPr>
          <w:rFonts w:ascii="Book Antiqua" w:hAnsi="Book Antiqua"/>
          <w:b/>
          <w:bCs/>
        </w:rPr>
      </w:pPr>
      <w:r>
        <w:rPr>
          <w:rFonts w:ascii="Book Antiqua" w:hAnsi="Book Antiqua"/>
          <w:b/>
          <w:bCs/>
        </w:rPr>
        <w:t xml:space="preserve">ROI for the State – </w:t>
      </w:r>
      <w:r>
        <w:rPr>
          <w:rFonts w:ascii="Book Antiqua" w:hAnsi="Book Antiqua"/>
        </w:rPr>
        <w:t>1.78</w:t>
      </w:r>
    </w:p>
    <w:p w14:paraId="2E0D8AE3" w14:textId="77777777" w:rsidR="003053FD" w:rsidRPr="003053FD" w:rsidRDefault="003053FD" w:rsidP="003053FD">
      <w:pPr>
        <w:pStyle w:val="ListParagraph"/>
        <w:spacing w:after="0"/>
        <w:ind w:left="2160"/>
        <w:rPr>
          <w:rFonts w:ascii="Book Antiqua" w:hAnsi="Book Antiqua"/>
        </w:rPr>
      </w:pPr>
    </w:p>
    <w:p w14:paraId="529E421C" w14:textId="77777777" w:rsidR="00181FA9" w:rsidRDefault="00181FA9" w:rsidP="00181FA9">
      <w:pPr>
        <w:spacing w:after="0"/>
        <w:ind w:left="1440"/>
        <w:rPr>
          <w:rFonts w:ascii="Book Antiqua" w:hAnsi="Book Antiqua"/>
        </w:rPr>
      </w:pPr>
    </w:p>
    <w:p w14:paraId="1831C29D" w14:textId="77777777" w:rsidR="005D320A" w:rsidRPr="005D320A" w:rsidRDefault="005D320A" w:rsidP="005D320A">
      <w:pPr>
        <w:spacing w:after="0"/>
        <w:ind w:left="720" w:firstLine="720"/>
        <w:rPr>
          <w:rFonts w:ascii="Book Antiqua" w:hAnsi="Book Antiqua"/>
          <w:b/>
          <w:bCs/>
        </w:rPr>
      </w:pPr>
    </w:p>
    <w:p w14:paraId="52A68673" w14:textId="77777777" w:rsidR="005D320A" w:rsidRPr="005D320A" w:rsidRDefault="005D320A" w:rsidP="005D320A">
      <w:pPr>
        <w:spacing w:after="0"/>
        <w:ind w:left="720" w:firstLine="720"/>
        <w:rPr>
          <w:rFonts w:ascii="Book Antiqua" w:hAnsi="Book Antiqua"/>
        </w:rPr>
      </w:pPr>
    </w:p>
    <w:p w14:paraId="5980C484"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9</w:t>
      </w:r>
      <w:r w:rsidRPr="005D320A">
        <w:rPr>
          <w:rFonts w:ascii="Book Antiqua" w:hAnsi="Book Antiqua"/>
          <w:b/>
          <w:bCs/>
        </w:rPr>
        <w:tab/>
        <w:t>BOG Regulation 10.002 - Sponsored Research</w:t>
      </w:r>
    </w:p>
    <w:p w14:paraId="3BFFD485" w14:textId="3D884BA9" w:rsidR="005D320A" w:rsidRPr="005D320A" w:rsidRDefault="005D320A" w:rsidP="005D320A">
      <w:pPr>
        <w:spacing w:after="0"/>
        <w:ind w:left="1440"/>
        <w:rPr>
          <w:rFonts w:ascii="Book Antiqua" w:hAnsi="Book Antiqua"/>
        </w:rPr>
      </w:pPr>
      <w:bookmarkStart w:id="6" w:name="_Hlk145667940"/>
      <w:r w:rsidRPr="005D320A">
        <w:rPr>
          <w:rFonts w:ascii="Book Antiqua" w:hAnsi="Book Antiqua"/>
        </w:rPr>
        <w:t xml:space="preserve">Dr. </w:t>
      </w:r>
      <w:r w:rsidR="008B6C69">
        <w:rPr>
          <w:rFonts w:ascii="Book Antiqua" w:hAnsi="Book Antiqua"/>
        </w:rPr>
        <w:t xml:space="preserve">John </w:t>
      </w:r>
      <w:r w:rsidRPr="005D320A">
        <w:rPr>
          <w:rFonts w:ascii="Book Antiqua" w:hAnsi="Book Antiqua"/>
        </w:rPr>
        <w:t>Kantner</w:t>
      </w:r>
      <w:r w:rsidR="008B6C69" w:rsidRPr="005D320A">
        <w:rPr>
          <w:rFonts w:ascii="Book Antiqua" w:hAnsi="Book Antiqua"/>
        </w:rPr>
        <w:t xml:space="preserve">, Sr. Associate Provost of Faculty &amp; Research, </w:t>
      </w:r>
      <w:r w:rsidRPr="005D320A">
        <w:rPr>
          <w:rFonts w:ascii="Book Antiqua" w:hAnsi="Book Antiqua"/>
        </w:rPr>
        <w:t>present</w:t>
      </w:r>
      <w:r w:rsidR="008B6C69">
        <w:rPr>
          <w:rFonts w:ascii="Book Antiqua" w:hAnsi="Book Antiqua"/>
        </w:rPr>
        <w:t>ed</w:t>
      </w:r>
      <w:r w:rsidRPr="005D320A">
        <w:rPr>
          <w:rFonts w:ascii="Book Antiqua" w:hAnsi="Book Antiqua"/>
        </w:rPr>
        <w:t xml:space="preserve"> UNF’s compliance with BOG regulation 10.002 Sponsored Research for information purposes. </w:t>
      </w:r>
      <w:bookmarkStart w:id="7" w:name="_Hlk145668174"/>
      <w:bookmarkEnd w:id="6"/>
      <w:r w:rsidRPr="005D320A">
        <w:rPr>
          <w:rFonts w:ascii="Book Antiqua" w:hAnsi="Book Antiqua"/>
        </w:rPr>
        <w:t>Each university annually certif</w:t>
      </w:r>
      <w:r w:rsidR="008B6C69">
        <w:rPr>
          <w:rFonts w:ascii="Book Antiqua" w:hAnsi="Book Antiqua"/>
        </w:rPr>
        <w:t>ies</w:t>
      </w:r>
      <w:r w:rsidRPr="005D320A">
        <w:rPr>
          <w:rFonts w:ascii="Book Antiqua" w:hAnsi="Book Antiqua"/>
        </w:rPr>
        <w:t xml:space="preserve"> to the </w:t>
      </w:r>
      <w:r w:rsidR="008B6C69">
        <w:rPr>
          <w:rFonts w:ascii="Book Antiqua" w:hAnsi="Book Antiqua"/>
        </w:rPr>
        <w:t>BOG</w:t>
      </w:r>
      <w:r w:rsidRPr="005D320A">
        <w:rPr>
          <w:rFonts w:ascii="Book Antiqua" w:hAnsi="Book Antiqua"/>
        </w:rPr>
        <w:t xml:space="preserve"> that it has established policies for negotiating, entering, and executing research contracts.</w:t>
      </w:r>
      <w:bookmarkEnd w:id="7"/>
      <w:r w:rsidRPr="005D320A">
        <w:rPr>
          <w:rFonts w:ascii="Book Antiqua" w:hAnsi="Book Antiqua"/>
        </w:rPr>
        <w:t xml:space="preserve"> The certification will be submitted to the </w:t>
      </w:r>
      <w:r w:rsidR="00BF1C22">
        <w:rPr>
          <w:rFonts w:ascii="Book Antiqua" w:hAnsi="Book Antiqua"/>
        </w:rPr>
        <w:t>BOG</w:t>
      </w:r>
      <w:r w:rsidRPr="005D320A">
        <w:rPr>
          <w:rFonts w:ascii="Book Antiqua" w:hAnsi="Book Antiqua"/>
        </w:rPr>
        <w:t xml:space="preserve"> by October </w:t>
      </w:r>
      <w:r w:rsidR="008B6C69">
        <w:rPr>
          <w:rFonts w:ascii="Book Antiqua" w:hAnsi="Book Antiqua"/>
        </w:rPr>
        <w:t>1</w:t>
      </w:r>
      <w:r w:rsidR="008B6C69" w:rsidRPr="008B6C69">
        <w:rPr>
          <w:rFonts w:ascii="Book Antiqua" w:hAnsi="Book Antiqua"/>
          <w:vertAlign w:val="superscript"/>
        </w:rPr>
        <w:t>st</w:t>
      </w:r>
      <w:r w:rsidR="008B6C69">
        <w:rPr>
          <w:rFonts w:ascii="Book Antiqua" w:hAnsi="Book Antiqua"/>
        </w:rPr>
        <w:t xml:space="preserve"> annually</w:t>
      </w:r>
      <w:r w:rsidR="00BF1C22">
        <w:rPr>
          <w:rFonts w:ascii="Book Antiqua" w:hAnsi="Book Antiqua"/>
        </w:rPr>
        <w:t xml:space="preserve"> by the Chief Research Office, which is </w:t>
      </w:r>
      <w:r w:rsidR="00C542CC">
        <w:rPr>
          <w:rFonts w:ascii="Book Antiqua" w:hAnsi="Book Antiqua"/>
        </w:rPr>
        <w:t xml:space="preserve">a </w:t>
      </w:r>
      <w:r w:rsidR="00BF1C22">
        <w:rPr>
          <w:rFonts w:ascii="Book Antiqua" w:hAnsi="Book Antiqua"/>
        </w:rPr>
        <w:t xml:space="preserve">role Dr. Kantner currently </w:t>
      </w:r>
      <w:r w:rsidR="00C542CC">
        <w:rPr>
          <w:rFonts w:ascii="Book Antiqua" w:hAnsi="Book Antiqua"/>
        </w:rPr>
        <w:t>holds</w:t>
      </w:r>
      <w:r w:rsidR="008B6C69">
        <w:rPr>
          <w:rFonts w:ascii="Book Antiqua" w:hAnsi="Book Antiqua"/>
        </w:rPr>
        <w:t>.</w:t>
      </w:r>
    </w:p>
    <w:p w14:paraId="4168393B" w14:textId="77777777" w:rsidR="005D320A" w:rsidRPr="005D320A" w:rsidRDefault="005D320A" w:rsidP="00BF1C22">
      <w:pPr>
        <w:spacing w:after="0"/>
        <w:rPr>
          <w:rFonts w:ascii="Book Antiqua" w:hAnsi="Book Antiqua"/>
        </w:rPr>
      </w:pPr>
    </w:p>
    <w:p w14:paraId="56686466"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10</w:t>
      </w:r>
      <w:r w:rsidRPr="005D320A">
        <w:rPr>
          <w:rFonts w:ascii="Book Antiqua" w:hAnsi="Book Antiqua"/>
          <w:b/>
          <w:bCs/>
        </w:rPr>
        <w:tab/>
        <w:t>Provost’s Quarterly: Around the Nest</w:t>
      </w:r>
    </w:p>
    <w:p w14:paraId="3301D473" w14:textId="5621E327" w:rsidR="00BF1C22" w:rsidRPr="005D320A" w:rsidRDefault="005D320A" w:rsidP="00BF1C22">
      <w:pPr>
        <w:spacing w:after="0"/>
        <w:ind w:left="1440"/>
        <w:rPr>
          <w:rFonts w:ascii="Book Antiqua" w:hAnsi="Book Antiqua"/>
        </w:rPr>
      </w:pPr>
      <w:r w:rsidRPr="005D320A">
        <w:rPr>
          <w:rFonts w:ascii="Book Antiqua" w:hAnsi="Book Antiqua"/>
        </w:rPr>
        <w:t>Provost Karen Patterson introduce</w:t>
      </w:r>
      <w:r w:rsidR="00BF1C22">
        <w:rPr>
          <w:rFonts w:ascii="Book Antiqua" w:hAnsi="Book Antiqua"/>
        </w:rPr>
        <w:t>d</w:t>
      </w:r>
      <w:r w:rsidRPr="005D320A">
        <w:rPr>
          <w:rFonts w:ascii="Book Antiqua" w:hAnsi="Book Antiqua"/>
        </w:rPr>
        <w:t xml:space="preserve"> </w:t>
      </w:r>
      <w:bookmarkStart w:id="8" w:name="_Hlk145667988"/>
      <w:r w:rsidRPr="005D320A">
        <w:rPr>
          <w:rFonts w:ascii="Book Antiqua" w:hAnsi="Book Antiqua"/>
        </w:rPr>
        <w:t>Dr. Erin Richman, Associate Vice President for Student Success and Ruth Lopez, Associate Vice President for Student Engagement and International Affairs, wh</w:t>
      </w:r>
      <w:r w:rsidR="00BF1C22">
        <w:rPr>
          <w:rFonts w:ascii="Book Antiqua" w:hAnsi="Book Antiqua"/>
        </w:rPr>
        <w:t xml:space="preserve">o </w:t>
      </w:r>
      <w:r w:rsidRPr="005D320A">
        <w:rPr>
          <w:rFonts w:ascii="Book Antiqua" w:hAnsi="Book Antiqua"/>
        </w:rPr>
        <w:t>update</w:t>
      </w:r>
      <w:r w:rsidR="00BF1C22">
        <w:rPr>
          <w:rFonts w:ascii="Book Antiqua" w:hAnsi="Book Antiqua"/>
        </w:rPr>
        <w:t>d</w:t>
      </w:r>
      <w:r w:rsidRPr="005D320A">
        <w:rPr>
          <w:rFonts w:ascii="Book Antiqua" w:hAnsi="Book Antiqua"/>
        </w:rPr>
        <w:t xml:space="preserve"> the Committee on current academic and student life initiatives focused on Student Success.</w:t>
      </w:r>
      <w:r w:rsidR="00BF1C22">
        <w:rPr>
          <w:rFonts w:ascii="Book Antiqua" w:hAnsi="Book Antiqua"/>
        </w:rPr>
        <w:t xml:space="preserve"> </w:t>
      </w:r>
      <w:bookmarkEnd w:id="8"/>
    </w:p>
    <w:p w14:paraId="28A83092" w14:textId="449BE6E5" w:rsidR="005D320A" w:rsidRDefault="005D320A" w:rsidP="005D320A">
      <w:pPr>
        <w:spacing w:after="0"/>
        <w:ind w:left="1440"/>
        <w:rPr>
          <w:rFonts w:ascii="Book Antiqua" w:hAnsi="Book Antiqua"/>
          <w:b/>
          <w:bCs/>
        </w:rPr>
      </w:pPr>
    </w:p>
    <w:p w14:paraId="2BF5B476" w14:textId="7C0E9DE1" w:rsidR="009F131C" w:rsidRDefault="009F131C" w:rsidP="005D320A">
      <w:pPr>
        <w:spacing w:after="0"/>
        <w:ind w:left="1440"/>
        <w:rPr>
          <w:rFonts w:ascii="Book Antiqua" w:hAnsi="Book Antiqua"/>
        </w:rPr>
      </w:pPr>
      <w:bookmarkStart w:id="9" w:name="_Hlk145668015"/>
      <w:r>
        <w:rPr>
          <w:rFonts w:ascii="Book Antiqua" w:hAnsi="Book Antiqua"/>
        </w:rPr>
        <w:t>Dr. Richman shared details about the Osprey First Program, which is an immersive six-week, on-campus experience to provide a comprehensive orientation and transition.</w:t>
      </w:r>
      <w:bookmarkEnd w:id="9"/>
      <w:r w:rsidR="00900B68">
        <w:rPr>
          <w:rFonts w:ascii="Book Antiqua" w:hAnsi="Book Antiqua"/>
        </w:rPr>
        <w:t xml:space="preserve"> She highlighted the goal to have 500 students enrolled with an 80% success rate, and the actual results of 490 students enrolled with an 85.5% success rate, with the success rate being defined as achieving a “C” level grade or above in both required courses. </w:t>
      </w:r>
    </w:p>
    <w:p w14:paraId="57CBB63A" w14:textId="3D1AA1B7" w:rsidR="00900B68" w:rsidRDefault="00900B68" w:rsidP="005D320A">
      <w:pPr>
        <w:spacing w:after="0"/>
        <w:ind w:left="1440"/>
        <w:rPr>
          <w:rFonts w:ascii="Book Antiqua" w:hAnsi="Book Antiqua"/>
        </w:rPr>
      </w:pPr>
    </w:p>
    <w:p w14:paraId="03A1C531" w14:textId="08C1D8FE" w:rsidR="00900B68" w:rsidRDefault="00900B68" w:rsidP="002A5F1D">
      <w:pPr>
        <w:ind w:left="1440"/>
        <w:rPr>
          <w:rFonts w:ascii="Book Antiqua" w:hAnsi="Book Antiqua"/>
        </w:rPr>
      </w:pPr>
      <w:bookmarkStart w:id="10" w:name="_Hlk145668034"/>
      <w:r>
        <w:rPr>
          <w:rFonts w:ascii="Book Antiqua" w:hAnsi="Book Antiqua"/>
        </w:rPr>
        <w:t xml:space="preserve">Ms. Lopez reviewed the Week of Welcome (WOW) schedule with the Board. She emphasized the importance </w:t>
      </w:r>
      <w:r w:rsidR="00093B8A">
        <w:rPr>
          <w:rFonts w:ascii="Book Antiqua" w:hAnsi="Book Antiqua"/>
        </w:rPr>
        <w:t xml:space="preserve">to have a UNF </w:t>
      </w:r>
      <w:r>
        <w:rPr>
          <w:rFonts w:ascii="Book Antiqua" w:hAnsi="Book Antiqua"/>
        </w:rPr>
        <w:t>SWAG merchandise giveaway at each event. During WOW, some of the events included:</w:t>
      </w:r>
    </w:p>
    <w:p w14:paraId="12BF2547" w14:textId="28A96AE9" w:rsidR="00900B68" w:rsidRPr="00900B68" w:rsidRDefault="00900B68" w:rsidP="00900B68">
      <w:pPr>
        <w:pStyle w:val="ListParagraph"/>
        <w:numPr>
          <w:ilvl w:val="0"/>
          <w:numId w:val="7"/>
        </w:numPr>
        <w:spacing w:after="0"/>
        <w:rPr>
          <w:rFonts w:ascii="Book Antiqua" w:hAnsi="Book Antiqua"/>
          <w:i/>
          <w:iCs/>
        </w:rPr>
      </w:pPr>
      <w:r>
        <w:rPr>
          <w:rFonts w:ascii="Book Antiqua" w:hAnsi="Book Antiqua"/>
        </w:rPr>
        <w:t xml:space="preserve">Welcome to the Nest – Carnival themed food and </w:t>
      </w:r>
      <w:r w:rsidR="002A5F1D">
        <w:rPr>
          <w:rFonts w:ascii="Book Antiqua" w:hAnsi="Book Antiqua"/>
        </w:rPr>
        <w:t>games.</w:t>
      </w:r>
    </w:p>
    <w:p w14:paraId="07B35BD1" w14:textId="7553C40A" w:rsidR="00900B68" w:rsidRPr="00900B68" w:rsidRDefault="00900B68" w:rsidP="00900B68">
      <w:pPr>
        <w:pStyle w:val="ListParagraph"/>
        <w:numPr>
          <w:ilvl w:val="0"/>
          <w:numId w:val="7"/>
        </w:numPr>
        <w:spacing w:after="0"/>
        <w:rPr>
          <w:rFonts w:ascii="Book Antiqua" w:hAnsi="Book Antiqua"/>
          <w:i/>
          <w:iCs/>
        </w:rPr>
      </w:pPr>
      <w:r>
        <w:rPr>
          <w:rFonts w:ascii="Book Antiqua" w:hAnsi="Book Antiqua"/>
        </w:rPr>
        <w:t xml:space="preserve">Flight School – Teaching new students how to be an </w:t>
      </w:r>
      <w:r w:rsidR="002A5F1D">
        <w:rPr>
          <w:rFonts w:ascii="Book Antiqua" w:hAnsi="Book Antiqua"/>
        </w:rPr>
        <w:t>Osprey.</w:t>
      </w:r>
    </w:p>
    <w:p w14:paraId="36E31609" w14:textId="427B4B53" w:rsidR="00900B68" w:rsidRPr="00900B68" w:rsidRDefault="00900B68" w:rsidP="00900B68">
      <w:pPr>
        <w:pStyle w:val="ListParagraph"/>
        <w:numPr>
          <w:ilvl w:val="0"/>
          <w:numId w:val="7"/>
        </w:numPr>
        <w:spacing w:after="0"/>
        <w:rPr>
          <w:rFonts w:ascii="Book Antiqua" w:hAnsi="Book Antiqua"/>
          <w:i/>
          <w:iCs/>
        </w:rPr>
      </w:pPr>
      <w:r>
        <w:rPr>
          <w:rFonts w:ascii="Book Antiqua" w:hAnsi="Book Antiqua"/>
        </w:rPr>
        <w:t>Block Party – Food and giveaways at the Osprey Plaza</w:t>
      </w:r>
    </w:p>
    <w:p w14:paraId="0F0584B9" w14:textId="30DD8B97" w:rsidR="00900B68" w:rsidRPr="00900B68" w:rsidRDefault="00900B68" w:rsidP="00900B68">
      <w:pPr>
        <w:pStyle w:val="ListParagraph"/>
        <w:numPr>
          <w:ilvl w:val="0"/>
          <w:numId w:val="7"/>
        </w:numPr>
        <w:spacing w:after="0"/>
        <w:rPr>
          <w:rFonts w:ascii="Book Antiqua" w:hAnsi="Book Antiqua"/>
          <w:i/>
          <w:iCs/>
        </w:rPr>
      </w:pPr>
      <w:r>
        <w:rPr>
          <w:rFonts w:ascii="Book Antiqua" w:hAnsi="Book Antiqua"/>
        </w:rPr>
        <w:t xml:space="preserve">SG Jaguars Season Ticket Sales – </w:t>
      </w:r>
      <w:r w:rsidR="002A5F1D">
        <w:rPr>
          <w:rFonts w:ascii="Book Antiqua" w:hAnsi="Book Antiqua"/>
        </w:rPr>
        <w:t xml:space="preserve">discounted tickets were sold at Osprey Plaza with the </w:t>
      </w:r>
      <w:r w:rsidR="003E71EB">
        <w:rPr>
          <w:rFonts w:ascii="Book Antiqua" w:hAnsi="Book Antiqua"/>
        </w:rPr>
        <w:t xml:space="preserve">Jags </w:t>
      </w:r>
      <w:r w:rsidR="002A5F1D">
        <w:rPr>
          <w:rFonts w:ascii="Book Antiqua" w:hAnsi="Book Antiqua"/>
        </w:rPr>
        <w:t xml:space="preserve">mascot and </w:t>
      </w:r>
      <w:r w:rsidR="00F7771B">
        <w:rPr>
          <w:rFonts w:ascii="Book Antiqua" w:hAnsi="Book Antiqua"/>
        </w:rPr>
        <w:t>giveaways.</w:t>
      </w:r>
    </w:p>
    <w:p w14:paraId="1FAD0B41" w14:textId="4AAF0BE8" w:rsidR="00900B68" w:rsidRPr="002A5F1D" w:rsidRDefault="00900B68" w:rsidP="00900B68">
      <w:pPr>
        <w:pStyle w:val="ListParagraph"/>
        <w:numPr>
          <w:ilvl w:val="0"/>
          <w:numId w:val="7"/>
        </w:numPr>
        <w:spacing w:after="0"/>
        <w:rPr>
          <w:rFonts w:ascii="Book Antiqua" w:hAnsi="Book Antiqua"/>
          <w:i/>
          <w:iCs/>
        </w:rPr>
      </w:pPr>
      <w:r>
        <w:rPr>
          <w:rFonts w:ascii="Book Antiqua" w:hAnsi="Book Antiqua"/>
        </w:rPr>
        <w:t xml:space="preserve">WOW Tailgate </w:t>
      </w:r>
      <w:r w:rsidR="002A5F1D">
        <w:rPr>
          <w:rFonts w:ascii="Book Antiqua" w:hAnsi="Book Antiqua"/>
        </w:rPr>
        <w:t>– UNF pep rally with outdoor activities.</w:t>
      </w:r>
    </w:p>
    <w:p w14:paraId="0744D352" w14:textId="6071C63E" w:rsidR="002A5F1D" w:rsidRPr="002A5F1D" w:rsidRDefault="002A5F1D" w:rsidP="00900B68">
      <w:pPr>
        <w:pStyle w:val="ListParagraph"/>
        <w:numPr>
          <w:ilvl w:val="0"/>
          <w:numId w:val="7"/>
        </w:numPr>
        <w:spacing w:after="0"/>
        <w:rPr>
          <w:rFonts w:ascii="Book Antiqua" w:hAnsi="Book Antiqua"/>
          <w:i/>
          <w:iCs/>
        </w:rPr>
      </w:pPr>
      <w:r>
        <w:rPr>
          <w:rFonts w:ascii="Book Antiqua" w:hAnsi="Book Antiqua"/>
        </w:rPr>
        <w:t>Dive-In Movie – Hosted at the competition pool complex with crafts and snacks.</w:t>
      </w:r>
    </w:p>
    <w:p w14:paraId="18C64C7A" w14:textId="14B7079D" w:rsidR="002A5F1D" w:rsidRPr="00900B68" w:rsidRDefault="002A5F1D" w:rsidP="00900B68">
      <w:pPr>
        <w:pStyle w:val="ListParagraph"/>
        <w:numPr>
          <w:ilvl w:val="0"/>
          <w:numId w:val="7"/>
        </w:numPr>
        <w:spacing w:after="0"/>
        <w:rPr>
          <w:rFonts w:ascii="Book Antiqua" w:hAnsi="Book Antiqua"/>
          <w:i/>
          <w:iCs/>
        </w:rPr>
      </w:pPr>
      <w:r>
        <w:rPr>
          <w:rFonts w:ascii="Book Antiqua" w:hAnsi="Book Antiqua"/>
        </w:rPr>
        <w:lastRenderedPageBreak/>
        <w:t>SG Stand-Up Comedy Show – Eric Andre performed at the Lazzara Performance Hall</w:t>
      </w:r>
      <w:r w:rsidR="00F7771B">
        <w:rPr>
          <w:rFonts w:ascii="Book Antiqua" w:hAnsi="Book Antiqua"/>
        </w:rPr>
        <w:t>.</w:t>
      </w:r>
    </w:p>
    <w:bookmarkEnd w:id="10"/>
    <w:p w14:paraId="02C0EFA0" w14:textId="77777777" w:rsidR="005D320A" w:rsidRPr="005D320A" w:rsidRDefault="005D320A" w:rsidP="005D320A">
      <w:pPr>
        <w:spacing w:after="0"/>
        <w:rPr>
          <w:rFonts w:ascii="Book Antiqua" w:hAnsi="Book Antiqua"/>
        </w:rPr>
      </w:pPr>
    </w:p>
    <w:p w14:paraId="3EB58326" w14:textId="77777777" w:rsidR="005D320A" w:rsidRPr="005D320A" w:rsidRDefault="005D320A" w:rsidP="005D320A">
      <w:pPr>
        <w:spacing w:after="0" w:line="240" w:lineRule="auto"/>
        <w:ind w:left="1440" w:hanging="1440"/>
        <w:outlineLvl w:val="1"/>
        <w:rPr>
          <w:rFonts w:ascii="Book Antiqua" w:hAnsi="Book Antiqua"/>
          <w:b/>
          <w:bCs/>
        </w:rPr>
      </w:pPr>
      <w:r w:rsidRPr="005D320A">
        <w:rPr>
          <w:rFonts w:ascii="Book Antiqua" w:hAnsi="Book Antiqua"/>
          <w:b/>
          <w:bCs/>
        </w:rPr>
        <w:t>Item 11</w:t>
      </w:r>
      <w:r w:rsidRPr="005D320A">
        <w:rPr>
          <w:rFonts w:ascii="Book Antiqua" w:hAnsi="Book Antiqua"/>
          <w:b/>
          <w:bCs/>
        </w:rPr>
        <w:tab/>
        <w:t>Adjournment</w:t>
      </w:r>
    </w:p>
    <w:p w14:paraId="40BF8C89" w14:textId="0D1FD30F" w:rsidR="005D320A" w:rsidRPr="002A5F1D" w:rsidRDefault="002A5F1D" w:rsidP="002A5F1D">
      <w:pPr>
        <w:ind w:left="1440"/>
        <w:rPr>
          <w:rFonts w:ascii="Book Antiqua" w:hAnsi="Book Antiqua"/>
        </w:rPr>
      </w:pPr>
      <w:r>
        <w:rPr>
          <w:rFonts w:ascii="Book Antiqua" w:hAnsi="Book Antiqua"/>
        </w:rPr>
        <w:t xml:space="preserve">Chair Egan </w:t>
      </w:r>
      <w:r w:rsidRPr="002A5F1D">
        <w:rPr>
          <w:rFonts w:ascii="Book Antiqua" w:hAnsi="Book Antiqua"/>
        </w:rPr>
        <w:t xml:space="preserve">adjourned </w:t>
      </w:r>
      <w:r>
        <w:rPr>
          <w:rFonts w:ascii="Book Antiqua" w:hAnsi="Book Antiqua"/>
        </w:rPr>
        <w:t xml:space="preserve">the meeting </w:t>
      </w:r>
      <w:r w:rsidRPr="002A5F1D">
        <w:rPr>
          <w:rFonts w:ascii="Book Antiqua" w:hAnsi="Book Antiqua"/>
        </w:rPr>
        <w:t>at 1:</w:t>
      </w:r>
      <w:r>
        <w:rPr>
          <w:rFonts w:ascii="Book Antiqua" w:hAnsi="Book Antiqua"/>
        </w:rPr>
        <w:t>0</w:t>
      </w:r>
      <w:r w:rsidRPr="002A5F1D">
        <w:rPr>
          <w:rFonts w:ascii="Book Antiqua" w:hAnsi="Book Antiqua"/>
        </w:rPr>
        <w:t>4</w:t>
      </w:r>
      <w:r>
        <w:rPr>
          <w:rFonts w:ascii="Book Antiqua" w:hAnsi="Book Antiqua"/>
        </w:rPr>
        <w:t xml:space="preserve"> p.m.</w:t>
      </w:r>
    </w:p>
    <w:sectPr w:rsidR="005D320A" w:rsidRPr="002A5F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213D" w14:textId="77777777" w:rsidR="0056420B" w:rsidRDefault="0056420B" w:rsidP="005D320A">
      <w:pPr>
        <w:spacing w:after="0" w:line="240" w:lineRule="auto"/>
      </w:pPr>
      <w:r>
        <w:separator/>
      </w:r>
    </w:p>
  </w:endnote>
  <w:endnote w:type="continuationSeparator" w:id="0">
    <w:p w14:paraId="759343FA" w14:textId="77777777" w:rsidR="0056420B" w:rsidRDefault="0056420B" w:rsidP="005D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502F" w14:textId="77777777" w:rsidR="004E6BE6" w:rsidRDefault="004E6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4BC8" w14:textId="77777777" w:rsidR="004E6BE6" w:rsidRDefault="004E6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8E57" w14:textId="77777777" w:rsidR="004E6BE6" w:rsidRDefault="004E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F4F4" w14:textId="77777777" w:rsidR="0056420B" w:rsidRDefault="0056420B" w:rsidP="005D320A">
      <w:pPr>
        <w:spacing w:after="0" w:line="240" w:lineRule="auto"/>
      </w:pPr>
      <w:r>
        <w:separator/>
      </w:r>
    </w:p>
  </w:footnote>
  <w:footnote w:type="continuationSeparator" w:id="0">
    <w:p w14:paraId="5DE0B8DE" w14:textId="77777777" w:rsidR="0056420B" w:rsidRDefault="0056420B" w:rsidP="005D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58A" w14:textId="77777777" w:rsidR="004E6BE6" w:rsidRDefault="004E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BAAF" w14:textId="1905CD4D" w:rsidR="005D320A" w:rsidRPr="005D320A" w:rsidRDefault="000E5C32" w:rsidP="005D320A">
    <w:pPr>
      <w:tabs>
        <w:tab w:val="center" w:pos="4680"/>
        <w:tab w:val="right" w:pos="9360"/>
      </w:tabs>
      <w:spacing w:after="0" w:line="240" w:lineRule="auto"/>
      <w:jc w:val="center"/>
      <w:rPr>
        <w:rFonts w:ascii="Book Antiqua" w:hAnsi="Book Antiqua"/>
      </w:rPr>
    </w:pPr>
    <w:sdt>
      <w:sdtPr>
        <w:rPr>
          <w:rFonts w:ascii="Book Antiqua" w:hAnsi="Book Antiqua"/>
        </w:rPr>
        <w:id w:val="-1626527589"/>
        <w:docPartObj>
          <w:docPartGallery w:val="Watermarks"/>
          <w:docPartUnique/>
        </w:docPartObj>
      </w:sdtPr>
      <w:sdtEndPr/>
      <w:sdtContent>
        <w:r>
          <w:rPr>
            <w:rFonts w:ascii="Book Antiqua" w:hAnsi="Book Antiqua"/>
            <w:noProof/>
          </w:rPr>
          <w:pict w14:anchorId="0A0C9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320A" w:rsidRPr="005D320A">
      <w:rPr>
        <w:rFonts w:ascii="Book Antiqua" w:hAnsi="Book Antiqua"/>
        <w:noProof/>
      </w:rPr>
      <w:drawing>
        <wp:anchor distT="0" distB="0" distL="114300" distR="114300" simplePos="0" relativeHeight="251657216" behindDoc="0" locked="0" layoutInCell="1" allowOverlap="1" wp14:anchorId="21057B5F" wp14:editId="6B51E23F">
          <wp:simplePos x="0" y="0"/>
          <wp:positionH relativeFrom="column">
            <wp:posOffset>1943100</wp:posOffset>
          </wp:positionH>
          <wp:positionV relativeFrom="paragraph">
            <wp:posOffset>-352425</wp:posOffset>
          </wp:positionV>
          <wp:extent cx="2066290" cy="877570"/>
          <wp:effectExtent l="0" t="0" r="0" b="0"/>
          <wp:wrapTopAndBottom/>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66290" cy="877570"/>
                  </a:xfrm>
                  <a:prstGeom prst="rect">
                    <a:avLst/>
                  </a:prstGeom>
                </pic:spPr>
              </pic:pic>
            </a:graphicData>
          </a:graphic>
        </wp:anchor>
      </w:drawing>
    </w:r>
  </w:p>
  <w:p w14:paraId="5A337336" w14:textId="77777777" w:rsidR="005D320A" w:rsidRPr="005D320A" w:rsidRDefault="005D320A" w:rsidP="005D320A">
    <w:pPr>
      <w:tabs>
        <w:tab w:val="center" w:pos="4680"/>
        <w:tab w:val="right" w:pos="9360"/>
      </w:tabs>
      <w:spacing w:after="0" w:line="480" w:lineRule="auto"/>
      <w:jc w:val="center"/>
      <w:rPr>
        <w:rFonts w:ascii="Book Antiqua" w:hAnsi="Book Antiqua"/>
        <w:b/>
        <w:sz w:val="24"/>
        <w:szCs w:val="24"/>
      </w:rPr>
    </w:pPr>
    <w:r w:rsidRPr="005D320A">
      <w:rPr>
        <w:rFonts w:ascii="Book Antiqua" w:hAnsi="Book Antiqua"/>
        <w:b/>
        <w:sz w:val="24"/>
        <w:szCs w:val="24"/>
      </w:rPr>
      <w:t>Academic and Student Affairs Committee</w:t>
    </w:r>
  </w:p>
  <w:p w14:paraId="02D7BBD6" w14:textId="77777777" w:rsidR="005D320A" w:rsidRPr="005D320A" w:rsidRDefault="005D320A" w:rsidP="005D320A">
    <w:pPr>
      <w:tabs>
        <w:tab w:val="center" w:pos="4680"/>
        <w:tab w:val="right" w:pos="9360"/>
      </w:tabs>
      <w:spacing w:after="0" w:line="480" w:lineRule="auto"/>
      <w:jc w:val="center"/>
      <w:rPr>
        <w:rFonts w:ascii="Book Antiqua" w:hAnsi="Book Antiqua"/>
        <w:i/>
        <w:sz w:val="24"/>
        <w:szCs w:val="24"/>
      </w:rPr>
    </w:pPr>
    <w:r w:rsidRPr="005D320A">
      <w:rPr>
        <w:rFonts w:ascii="Book Antiqua" w:hAnsi="Book Antiqua"/>
        <w:b/>
        <w:sz w:val="24"/>
        <w:szCs w:val="24"/>
      </w:rPr>
      <w:t>September 11, 2023</w:t>
    </w:r>
  </w:p>
  <w:p w14:paraId="2280D71E" w14:textId="6A198788" w:rsidR="005D320A" w:rsidRPr="005D320A" w:rsidRDefault="005D320A" w:rsidP="005D320A">
    <w:pPr>
      <w:tabs>
        <w:tab w:val="center" w:pos="4680"/>
        <w:tab w:val="right" w:pos="9360"/>
      </w:tabs>
      <w:spacing w:after="0" w:line="480" w:lineRule="auto"/>
      <w:jc w:val="center"/>
      <w:rPr>
        <w:rFonts w:ascii="Book Antiqua" w:hAnsi="Book Antiqua"/>
        <w:b/>
        <w:bCs/>
        <w:iCs/>
        <w:sz w:val="24"/>
        <w:szCs w:val="24"/>
      </w:rPr>
    </w:pPr>
    <w:r w:rsidRPr="005D320A">
      <w:rPr>
        <w:rFonts w:ascii="Book Antiqua" w:hAnsi="Book Antiqua"/>
        <w:b/>
        <w:bCs/>
        <w:iCs/>
        <w:sz w:val="24"/>
        <w:szCs w:val="24"/>
      </w:rPr>
      <w:t>12:00 p.m. – 1:00 p.m.</w:t>
    </w:r>
  </w:p>
  <w:p w14:paraId="43C96A72" w14:textId="77777777" w:rsidR="005D320A" w:rsidRPr="005D320A" w:rsidRDefault="005D320A" w:rsidP="005D320A">
    <w:pPr>
      <w:tabs>
        <w:tab w:val="center" w:pos="4680"/>
        <w:tab w:val="right" w:pos="9360"/>
      </w:tabs>
      <w:spacing w:after="0" w:line="240" w:lineRule="auto"/>
      <w:jc w:val="center"/>
      <w:rPr>
        <w:rFonts w:ascii="Book Antiqua" w:hAnsi="Book Antiqua"/>
        <w:i/>
        <w:iCs/>
      </w:rPr>
    </w:pPr>
    <w:r w:rsidRPr="005D320A">
      <w:rPr>
        <w:rFonts w:ascii="Book Antiqua" w:hAnsi="Book Antiqua"/>
        <w:i/>
        <w:iCs/>
      </w:rPr>
      <w:t>Virtual Meeting</w:t>
    </w:r>
  </w:p>
  <w:p w14:paraId="0E054A52" w14:textId="47E5E5FB" w:rsidR="005D320A" w:rsidRDefault="005D3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1A86" w14:textId="77777777" w:rsidR="004E6BE6" w:rsidRDefault="004E6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750"/>
    <w:multiLevelType w:val="hybridMultilevel"/>
    <w:tmpl w:val="806C2B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0753"/>
    <w:multiLevelType w:val="hybridMultilevel"/>
    <w:tmpl w:val="BF3CF4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1F94"/>
    <w:multiLevelType w:val="hybridMultilevel"/>
    <w:tmpl w:val="58B0CA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BA33D2"/>
    <w:multiLevelType w:val="hybridMultilevel"/>
    <w:tmpl w:val="A9B0563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2B92CF2"/>
    <w:multiLevelType w:val="hybridMultilevel"/>
    <w:tmpl w:val="0E2AD3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7F142B"/>
    <w:multiLevelType w:val="hybridMultilevel"/>
    <w:tmpl w:val="F49EEE3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3A285D4A"/>
    <w:multiLevelType w:val="hybridMultilevel"/>
    <w:tmpl w:val="611A7802"/>
    <w:lvl w:ilvl="0" w:tplc="68F4B6CC">
      <w:start w:val="1"/>
      <w:numFmt w:val="bullet"/>
      <w:lvlText w:val="•"/>
      <w:lvlJc w:val="left"/>
      <w:pPr>
        <w:tabs>
          <w:tab w:val="num" w:pos="720"/>
        </w:tabs>
        <w:ind w:left="720" w:hanging="360"/>
      </w:pPr>
      <w:rPr>
        <w:rFonts w:ascii="Arial" w:hAnsi="Arial" w:hint="default"/>
      </w:rPr>
    </w:lvl>
    <w:lvl w:ilvl="1" w:tplc="6388BDBC" w:tentative="1">
      <w:start w:val="1"/>
      <w:numFmt w:val="bullet"/>
      <w:lvlText w:val="•"/>
      <w:lvlJc w:val="left"/>
      <w:pPr>
        <w:tabs>
          <w:tab w:val="num" w:pos="1440"/>
        </w:tabs>
        <w:ind w:left="1440" w:hanging="360"/>
      </w:pPr>
      <w:rPr>
        <w:rFonts w:ascii="Arial" w:hAnsi="Arial" w:hint="default"/>
      </w:rPr>
    </w:lvl>
    <w:lvl w:ilvl="2" w:tplc="7D48C230" w:tentative="1">
      <w:start w:val="1"/>
      <w:numFmt w:val="bullet"/>
      <w:lvlText w:val="•"/>
      <w:lvlJc w:val="left"/>
      <w:pPr>
        <w:tabs>
          <w:tab w:val="num" w:pos="2160"/>
        </w:tabs>
        <w:ind w:left="2160" w:hanging="360"/>
      </w:pPr>
      <w:rPr>
        <w:rFonts w:ascii="Arial" w:hAnsi="Arial" w:hint="default"/>
      </w:rPr>
    </w:lvl>
    <w:lvl w:ilvl="3" w:tplc="3A08D0BA" w:tentative="1">
      <w:start w:val="1"/>
      <w:numFmt w:val="bullet"/>
      <w:lvlText w:val="•"/>
      <w:lvlJc w:val="left"/>
      <w:pPr>
        <w:tabs>
          <w:tab w:val="num" w:pos="2880"/>
        </w:tabs>
        <w:ind w:left="2880" w:hanging="360"/>
      </w:pPr>
      <w:rPr>
        <w:rFonts w:ascii="Arial" w:hAnsi="Arial" w:hint="default"/>
      </w:rPr>
    </w:lvl>
    <w:lvl w:ilvl="4" w:tplc="15B8A14E" w:tentative="1">
      <w:start w:val="1"/>
      <w:numFmt w:val="bullet"/>
      <w:lvlText w:val="•"/>
      <w:lvlJc w:val="left"/>
      <w:pPr>
        <w:tabs>
          <w:tab w:val="num" w:pos="3600"/>
        </w:tabs>
        <w:ind w:left="3600" w:hanging="360"/>
      </w:pPr>
      <w:rPr>
        <w:rFonts w:ascii="Arial" w:hAnsi="Arial" w:hint="default"/>
      </w:rPr>
    </w:lvl>
    <w:lvl w:ilvl="5" w:tplc="B1802124" w:tentative="1">
      <w:start w:val="1"/>
      <w:numFmt w:val="bullet"/>
      <w:lvlText w:val="•"/>
      <w:lvlJc w:val="left"/>
      <w:pPr>
        <w:tabs>
          <w:tab w:val="num" w:pos="4320"/>
        </w:tabs>
        <w:ind w:left="4320" w:hanging="360"/>
      </w:pPr>
      <w:rPr>
        <w:rFonts w:ascii="Arial" w:hAnsi="Arial" w:hint="default"/>
      </w:rPr>
    </w:lvl>
    <w:lvl w:ilvl="6" w:tplc="C4F0C69C" w:tentative="1">
      <w:start w:val="1"/>
      <w:numFmt w:val="bullet"/>
      <w:lvlText w:val="•"/>
      <w:lvlJc w:val="left"/>
      <w:pPr>
        <w:tabs>
          <w:tab w:val="num" w:pos="5040"/>
        </w:tabs>
        <w:ind w:left="5040" w:hanging="360"/>
      </w:pPr>
      <w:rPr>
        <w:rFonts w:ascii="Arial" w:hAnsi="Arial" w:hint="default"/>
      </w:rPr>
    </w:lvl>
    <w:lvl w:ilvl="7" w:tplc="F66ACCC4" w:tentative="1">
      <w:start w:val="1"/>
      <w:numFmt w:val="bullet"/>
      <w:lvlText w:val="•"/>
      <w:lvlJc w:val="left"/>
      <w:pPr>
        <w:tabs>
          <w:tab w:val="num" w:pos="5760"/>
        </w:tabs>
        <w:ind w:left="5760" w:hanging="360"/>
      </w:pPr>
      <w:rPr>
        <w:rFonts w:ascii="Arial" w:hAnsi="Arial" w:hint="default"/>
      </w:rPr>
    </w:lvl>
    <w:lvl w:ilvl="8" w:tplc="2236F806" w:tentative="1">
      <w:start w:val="1"/>
      <w:numFmt w:val="bullet"/>
      <w:lvlText w:val="•"/>
      <w:lvlJc w:val="left"/>
      <w:pPr>
        <w:tabs>
          <w:tab w:val="num" w:pos="6480"/>
        </w:tabs>
        <w:ind w:left="6480" w:hanging="360"/>
      </w:pPr>
      <w:rPr>
        <w:rFonts w:ascii="Arial" w:hAnsi="Arial" w:hint="default"/>
      </w:rPr>
    </w:lvl>
  </w:abstractNum>
  <w:num w:numId="1" w16cid:durableId="1416899720">
    <w:abstractNumId w:val="0"/>
  </w:num>
  <w:num w:numId="2" w16cid:durableId="844897823">
    <w:abstractNumId w:val="4"/>
  </w:num>
  <w:num w:numId="3" w16cid:durableId="1213007508">
    <w:abstractNumId w:val="2"/>
  </w:num>
  <w:num w:numId="4" w16cid:durableId="343872133">
    <w:abstractNumId w:val="3"/>
  </w:num>
  <w:num w:numId="5" w16cid:durableId="469132208">
    <w:abstractNumId w:val="1"/>
  </w:num>
  <w:num w:numId="6" w16cid:durableId="1526559394">
    <w:abstractNumId w:val="6"/>
  </w:num>
  <w:num w:numId="7" w16cid:durableId="119754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0A"/>
    <w:rsid w:val="00024B7E"/>
    <w:rsid w:val="00027CA3"/>
    <w:rsid w:val="0006635F"/>
    <w:rsid w:val="00093B8A"/>
    <w:rsid w:val="000E5C32"/>
    <w:rsid w:val="0011276B"/>
    <w:rsid w:val="00156CC5"/>
    <w:rsid w:val="00181FA9"/>
    <w:rsid w:val="00204693"/>
    <w:rsid w:val="002A5F1D"/>
    <w:rsid w:val="003053FD"/>
    <w:rsid w:val="00332C9E"/>
    <w:rsid w:val="00372D0B"/>
    <w:rsid w:val="00377B1E"/>
    <w:rsid w:val="003E71EB"/>
    <w:rsid w:val="00422BE4"/>
    <w:rsid w:val="00475E9A"/>
    <w:rsid w:val="004E6BE6"/>
    <w:rsid w:val="004F1538"/>
    <w:rsid w:val="0056420B"/>
    <w:rsid w:val="005809A2"/>
    <w:rsid w:val="005D320A"/>
    <w:rsid w:val="00613DAF"/>
    <w:rsid w:val="00614463"/>
    <w:rsid w:val="006338DD"/>
    <w:rsid w:val="006B6E3A"/>
    <w:rsid w:val="006C4AB0"/>
    <w:rsid w:val="006F198A"/>
    <w:rsid w:val="007073DC"/>
    <w:rsid w:val="007151AA"/>
    <w:rsid w:val="00726EA5"/>
    <w:rsid w:val="00766254"/>
    <w:rsid w:val="008910F7"/>
    <w:rsid w:val="008B6C69"/>
    <w:rsid w:val="008D37C5"/>
    <w:rsid w:val="008E036F"/>
    <w:rsid w:val="00900B68"/>
    <w:rsid w:val="009544EA"/>
    <w:rsid w:val="009D0FF1"/>
    <w:rsid w:val="009F131C"/>
    <w:rsid w:val="00A542A2"/>
    <w:rsid w:val="00A729B6"/>
    <w:rsid w:val="00B47F83"/>
    <w:rsid w:val="00BF1C22"/>
    <w:rsid w:val="00C06223"/>
    <w:rsid w:val="00C172FC"/>
    <w:rsid w:val="00C542CC"/>
    <w:rsid w:val="00CB0E1F"/>
    <w:rsid w:val="00CB37CD"/>
    <w:rsid w:val="00D012B6"/>
    <w:rsid w:val="00D6781E"/>
    <w:rsid w:val="00D714A6"/>
    <w:rsid w:val="00DE4A6A"/>
    <w:rsid w:val="00E50D59"/>
    <w:rsid w:val="00E9165C"/>
    <w:rsid w:val="00F717F0"/>
    <w:rsid w:val="00F75D3D"/>
    <w:rsid w:val="00F7771B"/>
    <w:rsid w:val="00F92B4E"/>
    <w:rsid w:val="00FB44F4"/>
    <w:rsid w:val="00FC7BC0"/>
    <w:rsid w:val="00FE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C6B5B"/>
  <w15:chartTrackingRefBased/>
  <w15:docId w15:val="{93FC6E2F-B254-4250-B1B4-2E0412FA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20A"/>
  </w:style>
  <w:style w:type="paragraph" w:styleId="Footer">
    <w:name w:val="footer"/>
    <w:basedOn w:val="Normal"/>
    <w:link w:val="FooterChar"/>
    <w:uiPriority w:val="99"/>
    <w:unhideWhenUsed/>
    <w:rsid w:val="005D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20A"/>
  </w:style>
  <w:style w:type="paragraph" w:styleId="ListParagraph">
    <w:name w:val="List Paragraph"/>
    <w:basedOn w:val="Normal"/>
    <w:uiPriority w:val="34"/>
    <w:qFormat/>
    <w:rsid w:val="007151AA"/>
    <w:pPr>
      <w:ind w:left="720"/>
      <w:contextualSpacing/>
    </w:pPr>
  </w:style>
  <w:style w:type="character" w:styleId="CommentReference">
    <w:name w:val="annotation reference"/>
    <w:basedOn w:val="DefaultParagraphFont"/>
    <w:uiPriority w:val="99"/>
    <w:semiHidden/>
    <w:unhideWhenUsed/>
    <w:rsid w:val="00181FA9"/>
    <w:rPr>
      <w:sz w:val="16"/>
      <w:szCs w:val="16"/>
    </w:rPr>
  </w:style>
  <w:style w:type="paragraph" w:styleId="CommentText">
    <w:name w:val="annotation text"/>
    <w:basedOn w:val="Normal"/>
    <w:link w:val="CommentTextChar"/>
    <w:uiPriority w:val="99"/>
    <w:unhideWhenUsed/>
    <w:rsid w:val="00181FA9"/>
    <w:pPr>
      <w:spacing w:line="240" w:lineRule="auto"/>
    </w:pPr>
    <w:rPr>
      <w:sz w:val="20"/>
      <w:szCs w:val="20"/>
    </w:rPr>
  </w:style>
  <w:style w:type="character" w:customStyle="1" w:styleId="CommentTextChar">
    <w:name w:val="Comment Text Char"/>
    <w:basedOn w:val="DefaultParagraphFont"/>
    <w:link w:val="CommentText"/>
    <w:uiPriority w:val="99"/>
    <w:rsid w:val="00181FA9"/>
    <w:rPr>
      <w:sz w:val="20"/>
      <w:szCs w:val="20"/>
    </w:rPr>
  </w:style>
  <w:style w:type="paragraph" w:styleId="CommentSubject">
    <w:name w:val="annotation subject"/>
    <w:basedOn w:val="CommentText"/>
    <w:next w:val="CommentText"/>
    <w:link w:val="CommentSubjectChar"/>
    <w:uiPriority w:val="99"/>
    <w:semiHidden/>
    <w:unhideWhenUsed/>
    <w:rsid w:val="00181FA9"/>
    <w:rPr>
      <w:b/>
      <w:bCs/>
    </w:rPr>
  </w:style>
  <w:style w:type="character" w:customStyle="1" w:styleId="CommentSubjectChar">
    <w:name w:val="Comment Subject Char"/>
    <w:basedOn w:val="CommentTextChar"/>
    <w:link w:val="CommentSubject"/>
    <w:uiPriority w:val="99"/>
    <w:semiHidden/>
    <w:rsid w:val="00181FA9"/>
    <w:rPr>
      <w:b/>
      <w:bCs/>
      <w:sz w:val="20"/>
      <w:szCs w:val="20"/>
    </w:rPr>
  </w:style>
  <w:style w:type="paragraph" w:styleId="Revision">
    <w:name w:val="Revision"/>
    <w:hidden/>
    <w:uiPriority w:val="99"/>
    <w:semiHidden/>
    <w:rsid w:val="00C54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26198">
      <w:bodyDiv w:val="1"/>
      <w:marLeft w:val="0"/>
      <w:marRight w:val="0"/>
      <w:marTop w:val="0"/>
      <w:marBottom w:val="0"/>
      <w:divBdr>
        <w:top w:val="none" w:sz="0" w:space="0" w:color="auto"/>
        <w:left w:val="none" w:sz="0" w:space="0" w:color="auto"/>
        <w:bottom w:val="none" w:sz="0" w:space="0" w:color="auto"/>
        <w:right w:val="none" w:sz="0" w:space="0" w:color="auto"/>
      </w:divBdr>
      <w:divsChild>
        <w:div w:id="1373962596">
          <w:marLeft w:val="547"/>
          <w:marRight w:val="0"/>
          <w:marTop w:val="0"/>
          <w:marBottom w:val="0"/>
          <w:divBdr>
            <w:top w:val="none" w:sz="0" w:space="0" w:color="auto"/>
            <w:left w:val="none" w:sz="0" w:space="0" w:color="auto"/>
            <w:bottom w:val="none" w:sz="0" w:space="0" w:color="auto"/>
            <w:right w:val="none" w:sz="0" w:space="0" w:color="auto"/>
          </w:divBdr>
        </w:div>
      </w:divsChild>
    </w:div>
    <w:div w:id="1956671677">
      <w:bodyDiv w:val="1"/>
      <w:marLeft w:val="0"/>
      <w:marRight w:val="0"/>
      <w:marTop w:val="0"/>
      <w:marBottom w:val="0"/>
      <w:divBdr>
        <w:top w:val="none" w:sz="0" w:space="0" w:color="auto"/>
        <w:left w:val="none" w:sz="0" w:space="0" w:color="auto"/>
        <w:bottom w:val="none" w:sz="0" w:space="0" w:color="auto"/>
        <w:right w:val="none" w:sz="0" w:space="0" w:color="auto"/>
      </w:divBdr>
      <w:divsChild>
        <w:div w:id="20997926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3</cp:revision>
  <dcterms:created xsi:type="dcterms:W3CDTF">2023-09-20T13:41:00Z</dcterms:created>
  <dcterms:modified xsi:type="dcterms:W3CDTF">2023-09-20T13:45:00Z</dcterms:modified>
</cp:coreProperties>
</file>