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4786" w14:textId="77777777" w:rsidR="006176B3" w:rsidRDefault="006176B3"/>
    <w:p w14:paraId="4AF6BD7D" w14:textId="77777777" w:rsidR="00BC454D" w:rsidRDefault="00BC454D" w:rsidP="00BC454D">
      <w:pPr>
        <w:pStyle w:val="Heading1"/>
        <w:jc w:val="center"/>
      </w:pPr>
      <w:r>
        <w:t>AGENDA</w:t>
      </w:r>
    </w:p>
    <w:p w14:paraId="76D04E22" w14:textId="77777777" w:rsidR="00BC454D" w:rsidRDefault="00BC454D"/>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tblGrid>
      <w:tr w:rsidR="00BC454D" w14:paraId="54A49ED3" w14:textId="77777777" w:rsidTr="0071787D">
        <w:tc>
          <w:tcPr>
            <w:tcW w:w="1705" w:type="dxa"/>
          </w:tcPr>
          <w:p w14:paraId="30525382" w14:textId="77777777" w:rsidR="00BC454D" w:rsidRPr="0071787D" w:rsidRDefault="00BC454D">
            <w:pPr>
              <w:rPr>
                <w:b/>
                <w:bCs/>
              </w:rPr>
            </w:pPr>
            <w:r w:rsidRPr="0071787D">
              <w:rPr>
                <w:b/>
                <w:bCs/>
              </w:rPr>
              <w:t>Item 1</w:t>
            </w:r>
          </w:p>
        </w:tc>
        <w:tc>
          <w:tcPr>
            <w:tcW w:w="7650" w:type="dxa"/>
          </w:tcPr>
          <w:p w14:paraId="615A5E18" w14:textId="77777777" w:rsidR="00BC454D" w:rsidRPr="00BC454D" w:rsidRDefault="00BC454D">
            <w:pPr>
              <w:rPr>
                <w:b/>
                <w:bCs/>
              </w:rPr>
            </w:pPr>
            <w:r w:rsidRPr="00BC454D">
              <w:rPr>
                <w:b/>
                <w:bCs/>
              </w:rPr>
              <w:t>Call to Order</w:t>
            </w:r>
          </w:p>
          <w:p w14:paraId="62D89D93" w14:textId="0FE29FD2" w:rsidR="00BC454D" w:rsidRDefault="00BC454D">
            <w:r w:rsidRPr="001E3AB5">
              <w:t xml:space="preserve">Chair </w:t>
            </w:r>
            <w:r w:rsidR="005A53A2">
              <w:t>Hyde</w:t>
            </w:r>
            <w:r w:rsidRPr="001E3AB5">
              <w:t xml:space="preserve"> will call the meeting to order</w:t>
            </w:r>
            <w:r>
              <w:t>.</w:t>
            </w:r>
          </w:p>
          <w:p w14:paraId="2B220EF5" w14:textId="77777777" w:rsidR="00BC454D" w:rsidRDefault="00BC454D"/>
        </w:tc>
      </w:tr>
      <w:tr w:rsidR="00BC454D" w14:paraId="2065F3DB" w14:textId="77777777" w:rsidTr="0071787D">
        <w:tc>
          <w:tcPr>
            <w:tcW w:w="1705" w:type="dxa"/>
          </w:tcPr>
          <w:p w14:paraId="4A6DEBFA" w14:textId="77777777" w:rsidR="00BC454D" w:rsidRPr="0071787D" w:rsidRDefault="0071787D">
            <w:pPr>
              <w:rPr>
                <w:b/>
                <w:bCs/>
              </w:rPr>
            </w:pPr>
            <w:r w:rsidRPr="0071787D">
              <w:rPr>
                <w:b/>
                <w:bCs/>
              </w:rPr>
              <w:t>Item 2</w:t>
            </w:r>
          </w:p>
        </w:tc>
        <w:tc>
          <w:tcPr>
            <w:tcW w:w="7650" w:type="dxa"/>
          </w:tcPr>
          <w:p w14:paraId="7602C22A" w14:textId="77777777" w:rsidR="0071787D" w:rsidRPr="001E3AB5" w:rsidRDefault="0071787D" w:rsidP="0071787D">
            <w:pPr>
              <w:pStyle w:val="Heading2"/>
              <w:ind w:left="1440" w:hanging="1440"/>
            </w:pPr>
            <w:r w:rsidRPr="001E3AB5">
              <w:t xml:space="preserve">Public Comment </w:t>
            </w:r>
          </w:p>
          <w:p w14:paraId="62DFB81F" w14:textId="1BFAFD59" w:rsidR="0071787D" w:rsidRDefault="0071787D" w:rsidP="0071787D">
            <w:r w:rsidRPr="001E3AB5">
              <w:t xml:space="preserve">Chair </w:t>
            </w:r>
            <w:r w:rsidR="005A53A2">
              <w:t>Hyde</w:t>
            </w:r>
            <w:r w:rsidRPr="001E3AB5">
              <w:t xml:space="preserve"> will offer those in attendance the opportunity for public comment.</w:t>
            </w:r>
          </w:p>
          <w:p w14:paraId="3BA768A2" w14:textId="77777777" w:rsidR="00BC454D" w:rsidRDefault="00BC454D"/>
        </w:tc>
      </w:tr>
      <w:tr w:rsidR="00BC454D" w14:paraId="4B447688" w14:textId="77777777" w:rsidTr="0071787D">
        <w:tc>
          <w:tcPr>
            <w:tcW w:w="1705" w:type="dxa"/>
          </w:tcPr>
          <w:p w14:paraId="0248ECB5" w14:textId="77777777" w:rsidR="00BC454D" w:rsidRPr="0071787D" w:rsidRDefault="0071787D" w:rsidP="0071787D">
            <w:pPr>
              <w:rPr>
                <w:b/>
                <w:bCs/>
              </w:rPr>
            </w:pPr>
            <w:r w:rsidRPr="0071787D">
              <w:rPr>
                <w:b/>
                <w:bCs/>
              </w:rPr>
              <w:t>Item 3</w:t>
            </w:r>
          </w:p>
        </w:tc>
        <w:tc>
          <w:tcPr>
            <w:tcW w:w="7650" w:type="dxa"/>
          </w:tcPr>
          <w:p w14:paraId="24444CF4" w14:textId="77777777" w:rsidR="00D01646" w:rsidRDefault="00D01646" w:rsidP="0071787D">
            <w:pPr>
              <w:rPr>
                <w:b/>
                <w:bCs/>
              </w:rPr>
            </w:pPr>
            <w:r w:rsidRPr="00D01646">
              <w:rPr>
                <w:b/>
                <w:bCs/>
              </w:rPr>
              <w:t>Proposed New Academic Program – Ph.D. in Computing</w:t>
            </w:r>
          </w:p>
          <w:p w14:paraId="46EA3277" w14:textId="63A3AD55" w:rsidR="00D01646" w:rsidRDefault="00D01646" w:rsidP="00D01646">
            <w:pPr>
              <w:spacing w:line="240" w:lineRule="auto"/>
            </w:pPr>
            <w:r>
              <w:t>The overall purpose of the Ph.D. in Computing is to prepare candidates for intelligent systems and cybersecurity research and development positions in the private and public sectors as well as academic positions in universities and colleges. The proposed program of study will provide candidates with advanced, research-based studies in the field of computing in two concentrations: intelligent systems and cybersecurity. The two chosen concentrations are of great importance to the Northeast Florida economy as it spans the sectors of logistics, healthcare, financial technology, and advanced manufacturing. In addition to the traditional and well-established research methods, the program will encourage multidisciplinary research approaches and prioritize research problems with direct economic and community impacts. The program will fill a need in the Northeast Florida region by preparing computing professionals to become advanced-level researchers who will contribute to computing higher education, economic and technological development, as well as international collaboration. Furthermore, the Ph.D. in Computing is a Board of Governor</w:t>
            </w:r>
            <w:r w:rsidR="001E0AA0">
              <w:t>s</w:t>
            </w:r>
            <w:r>
              <w:t xml:space="preserve"> program of strategic emphasis on the current list under the STEM category, as well as on the recently approved proposed list under the GAP category.</w:t>
            </w:r>
          </w:p>
          <w:p w14:paraId="219ED639" w14:textId="77777777" w:rsidR="00D01646" w:rsidRDefault="00D01646" w:rsidP="00D01646">
            <w:pPr>
              <w:spacing w:line="240" w:lineRule="auto"/>
            </w:pPr>
          </w:p>
          <w:p w14:paraId="5C5FA13F" w14:textId="7D03CD09" w:rsidR="00D01646" w:rsidRDefault="00D01646" w:rsidP="00D01646">
            <w:pPr>
              <w:spacing w:line="240" w:lineRule="auto"/>
            </w:pPr>
            <w:r>
              <w:t>According to a 2020 Computing Research Association report entitled “Addressing the National</w:t>
            </w:r>
            <w:r w:rsidR="0041177C">
              <w:t xml:space="preserve"> </w:t>
            </w:r>
            <w:r>
              <w:t xml:space="preserve">Need for Increasing the Domestic </w:t>
            </w:r>
            <w:r w:rsidR="001E0AA0">
              <w:t>Ph.D.</w:t>
            </w:r>
            <w:r>
              <w:t xml:space="preserve"> Yield in Computer Science,” the demand for </w:t>
            </w:r>
            <w:r w:rsidR="001E0AA0">
              <w:t>Ph.D.</w:t>
            </w:r>
            <w:r w:rsidR="0041177C">
              <w:t xml:space="preserve"> </w:t>
            </w:r>
            <w:r>
              <w:t xml:space="preserve">graduates in computing is increasing faster than the supply, and both industry and academia </w:t>
            </w:r>
            <w:proofErr w:type="gramStart"/>
            <w:r>
              <w:t>are</w:t>
            </w:r>
            <w:proofErr w:type="gramEnd"/>
          </w:p>
          <w:p w14:paraId="7089BA4B" w14:textId="40283A0C" w:rsidR="0041177C" w:rsidRDefault="00D01646" w:rsidP="00D01646">
            <w:r>
              <w:t xml:space="preserve">competing to hire these </w:t>
            </w:r>
            <w:r w:rsidR="001E0AA0">
              <w:t>Ph.D.</w:t>
            </w:r>
            <w:r>
              <w:t xml:space="preserve"> graduates in short supply. The areas of intelligent systems and cybersecurity in particular have seen </w:t>
            </w:r>
            <w:proofErr w:type="gramStart"/>
            <w:r>
              <w:t>tremendous</w:t>
            </w:r>
            <w:proofErr w:type="gramEnd"/>
            <w:r>
              <w:t xml:space="preserve"> </w:t>
            </w:r>
          </w:p>
          <w:p w14:paraId="5D01DA01" w14:textId="77777777" w:rsidR="0041177C" w:rsidRDefault="0041177C" w:rsidP="00D01646"/>
          <w:p w14:paraId="667BCED6" w14:textId="77777777" w:rsidR="0041177C" w:rsidRDefault="0041177C" w:rsidP="00D01646"/>
          <w:p w14:paraId="01E7F3F8" w14:textId="2B152D69" w:rsidR="00D01646" w:rsidRDefault="00D01646" w:rsidP="00D01646">
            <w:pPr>
              <w:spacing w:line="240" w:lineRule="auto"/>
            </w:pPr>
            <w:r>
              <w:t>growth and advancements in recent years. The</w:t>
            </w:r>
            <w:r w:rsidR="0041177C">
              <w:t xml:space="preserve"> </w:t>
            </w:r>
            <w:r>
              <w:t>unprecedented demand in both areas is confirmed by the US Department of Labor, which projects</w:t>
            </w:r>
          </w:p>
          <w:p w14:paraId="6E397F36" w14:textId="1745DC56" w:rsidR="00D01646" w:rsidRDefault="00D01646" w:rsidP="00D01646">
            <w:pPr>
              <w:spacing w:line="240" w:lineRule="auto"/>
            </w:pPr>
            <w:r>
              <w:t>15% annual growth of computer and information research jobs, which is much faster than</w:t>
            </w:r>
            <w:r w:rsidR="0041177C">
              <w:t xml:space="preserve"> </w:t>
            </w:r>
            <w:r>
              <w:t xml:space="preserve">average. Overall employment of computer and information research scientists is projected to grow 23.7% in Florida from 2022 to 2030, resulting in 1,151 available jobs. Nationally, 33,500 openings for computer and information research scientists are projected each year, on average over the decade. Graduates of the </w:t>
            </w:r>
            <w:r w:rsidR="001E0AA0">
              <w:t>Ph.D.</w:t>
            </w:r>
            <w:r>
              <w:t xml:space="preserve"> program may also become artificial intelligence researchers or consultants, machine learning researchers, chief information security officers, information security directors, cybersecurity researchers, and information security engineers, just to name a few.</w:t>
            </w:r>
          </w:p>
          <w:p w14:paraId="2ED2222B" w14:textId="77777777" w:rsidR="00D01646" w:rsidRDefault="00D01646" w:rsidP="00D01646">
            <w:pPr>
              <w:spacing w:line="240" w:lineRule="auto"/>
            </w:pPr>
          </w:p>
          <w:p w14:paraId="7663EF2F" w14:textId="12876F79" w:rsidR="000D02FE" w:rsidRDefault="00D01646" w:rsidP="00D01646">
            <w:r>
              <w:t>Dr. John Kantner, Senior Associate Provost for Faculty and Research will present this item.</w:t>
            </w:r>
          </w:p>
          <w:p w14:paraId="70CC32C5" w14:textId="77777777" w:rsidR="00D01646" w:rsidRDefault="00D01646" w:rsidP="00D01646"/>
          <w:p w14:paraId="72DBC639" w14:textId="77777777" w:rsidR="0071787D" w:rsidRDefault="0071787D" w:rsidP="0071787D">
            <w:r w:rsidRPr="0061357D">
              <w:rPr>
                <w:b/>
              </w:rPr>
              <w:t xml:space="preserve">Proposed Action: </w:t>
            </w:r>
            <w:r w:rsidRPr="0061357D">
              <w:t>Approval; Motion and Second Required</w:t>
            </w:r>
          </w:p>
          <w:p w14:paraId="74506520" w14:textId="77777777" w:rsidR="00BC454D" w:rsidRDefault="00BC454D" w:rsidP="0071787D"/>
        </w:tc>
      </w:tr>
      <w:tr w:rsidR="00CD27B4" w14:paraId="6BB86BA8" w14:textId="77777777" w:rsidTr="00BA55FC">
        <w:tc>
          <w:tcPr>
            <w:tcW w:w="1705" w:type="dxa"/>
          </w:tcPr>
          <w:p w14:paraId="1C842DA1" w14:textId="77777777" w:rsidR="00CD27B4" w:rsidRDefault="00CD27B4" w:rsidP="00CD27B4">
            <w:pPr>
              <w:rPr>
                <w:b/>
                <w:bCs/>
              </w:rPr>
            </w:pPr>
            <w:r>
              <w:rPr>
                <w:b/>
                <w:bCs/>
              </w:rPr>
              <w:lastRenderedPageBreak/>
              <w:t>Item 4</w:t>
            </w:r>
          </w:p>
          <w:p w14:paraId="15D73463" w14:textId="77777777" w:rsidR="00CD27B4" w:rsidRPr="0071787D" w:rsidRDefault="00CD27B4" w:rsidP="00CD27B4">
            <w:pPr>
              <w:rPr>
                <w:b/>
                <w:bCs/>
              </w:rPr>
            </w:pPr>
          </w:p>
        </w:tc>
        <w:tc>
          <w:tcPr>
            <w:tcW w:w="7650" w:type="dxa"/>
            <w:vAlign w:val="center"/>
          </w:tcPr>
          <w:p w14:paraId="67573836" w14:textId="77777777" w:rsidR="00D01646" w:rsidRDefault="00D01646" w:rsidP="00CD27B4">
            <w:pPr>
              <w:spacing w:line="259" w:lineRule="auto"/>
              <w:rPr>
                <w:b/>
                <w:bCs/>
              </w:rPr>
            </w:pPr>
            <w:r w:rsidRPr="00D01646">
              <w:rPr>
                <w:b/>
                <w:bCs/>
              </w:rPr>
              <w:t>Proposed New Academic Program – Doctor of Health Administration</w:t>
            </w:r>
          </w:p>
          <w:p w14:paraId="2844A2E7" w14:textId="77777777" w:rsidR="00D01646" w:rsidRDefault="00D01646" w:rsidP="00D01646">
            <w:r>
              <w:t>The Doctor of Health Administration (DHA) is designed to prepare experienced clinicians and health administration leaders with the knowledge and skills to meet the changing healthcare industry. The proposed DHA is based on an identified need in Northeast Florida to ne a unique and scientifically designed doctoral program with an emphasis on global health management and leadership for advanced evidence-based management of healthcare facilities and institutions. The DHA will be an applied doctorate, which focuses on taking the evidence available in clinical, organizational, and policy areas and using it to directly solve complex problems in healthcare. There are no equivalent programs available in Northeast Florida, which has a large and rapidly expanding healthcare sector. UNF continually fields inquiries about the availability of a DHA program for healthcare practitioners and executives. Graduates of the proposed program will be able to assume leadership roles at the highest levels of healthcare management and administration in academic/teaching hospitals and institutions, with sample titles such as Clinical Director, Healthcare System Director, Medical Records Director, etc.</w:t>
            </w:r>
          </w:p>
          <w:p w14:paraId="6C2A3A3A" w14:textId="77777777" w:rsidR="00D01646" w:rsidRDefault="00D01646" w:rsidP="00D01646"/>
          <w:p w14:paraId="722C04B8" w14:textId="21946FE8" w:rsidR="00D01646" w:rsidRDefault="00D01646" w:rsidP="00D01646">
            <w:r>
              <w:t>Healthcare Administration EDU also reported that Florida’s Department of Economic Opportunity estimates a 25.6% increase in jobs for healthcare administrators in the state between 2016 and 2026, slightly above the national average. Florida’s Department of Economic Opportunity shows a growing demand for Medical and Health Services Managers with a predicted 31.5% growth from 2022 to</w:t>
            </w:r>
            <w:r w:rsidR="0041177C">
              <w:t xml:space="preserve"> </w:t>
            </w:r>
            <w:r>
              <w:t>2030 in Duval County. Per the U.S. Bureau of Labor Statistics, employment of medical and health services managers is projected to grow 28 percent nationally from 2021 to 2031, much faster than the average for all occupations. About 56,600 openings for medical and health services managers are projected each year, on average, over the decade. The median annual wage for medical and health services managers was $101,340 in May 2021. Florida is listed as one of the top 5 states with</w:t>
            </w:r>
            <w:r w:rsidR="0041177C">
              <w:t xml:space="preserve"> </w:t>
            </w:r>
            <w:r>
              <w:t>the highest employment level in Medical and Health Services Managers. The DHA Program will benefit the state of Florida by producing more qualified workers for jobs that are in increasing demand in Florida. In addition to job opportunities related to health administration, this DHA Program would also prepare students as faculty for teaching in the Health Administration Program. Overall employment of postsecondary teachers is projected to grow 7.1 percent nationally and 11.8 percent in Florida from 2022 to 2030. The median annual wage for postsecondary teachers was $79,640 in May 2021.</w:t>
            </w:r>
          </w:p>
          <w:p w14:paraId="1DBDF238" w14:textId="77777777" w:rsidR="00D01646" w:rsidRDefault="00D01646" w:rsidP="00D01646"/>
          <w:p w14:paraId="489A187F" w14:textId="0390E413" w:rsidR="00CD27B4" w:rsidRDefault="00D01646" w:rsidP="00D01646">
            <w:pPr>
              <w:spacing w:line="259" w:lineRule="auto"/>
            </w:pPr>
            <w:r>
              <w:t>Dr. John Kantner, Senior Associate Provost for Faculty and Research will present this item.</w:t>
            </w:r>
          </w:p>
          <w:p w14:paraId="688A6D6A" w14:textId="77777777" w:rsidR="0041177C" w:rsidRDefault="0041177C" w:rsidP="00D01646">
            <w:pPr>
              <w:spacing w:line="259" w:lineRule="auto"/>
            </w:pPr>
          </w:p>
          <w:p w14:paraId="5AAAAEE1" w14:textId="77777777" w:rsidR="00CD27B4" w:rsidRDefault="00CD27B4" w:rsidP="00CD27B4">
            <w:r w:rsidRPr="0061357D">
              <w:rPr>
                <w:b/>
              </w:rPr>
              <w:t xml:space="preserve">Proposed Action: </w:t>
            </w:r>
            <w:r w:rsidRPr="0061357D">
              <w:t>Approval; Motion and Second Required</w:t>
            </w:r>
          </w:p>
          <w:p w14:paraId="6103D969" w14:textId="77777777" w:rsidR="00CD27B4" w:rsidRPr="00CD27B4" w:rsidRDefault="00CD27B4" w:rsidP="00CD27B4"/>
        </w:tc>
      </w:tr>
      <w:tr w:rsidR="004E0DCD" w14:paraId="38116198" w14:textId="77777777" w:rsidTr="0071787D">
        <w:tc>
          <w:tcPr>
            <w:tcW w:w="1705" w:type="dxa"/>
          </w:tcPr>
          <w:p w14:paraId="498A61B7" w14:textId="18B0105C" w:rsidR="004E0DCD" w:rsidRDefault="004E0DCD">
            <w:pPr>
              <w:rPr>
                <w:b/>
                <w:bCs/>
              </w:rPr>
            </w:pPr>
            <w:r>
              <w:rPr>
                <w:b/>
                <w:bCs/>
              </w:rPr>
              <w:lastRenderedPageBreak/>
              <w:t xml:space="preserve">Item </w:t>
            </w:r>
            <w:r w:rsidR="00D01646">
              <w:rPr>
                <w:b/>
                <w:bCs/>
              </w:rPr>
              <w:t>5</w:t>
            </w:r>
          </w:p>
        </w:tc>
        <w:tc>
          <w:tcPr>
            <w:tcW w:w="7650" w:type="dxa"/>
          </w:tcPr>
          <w:p w14:paraId="5CD37A8D" w14:textId="77777777" w:rsidR="004E0DCD" w:rsidRPr="004E0DCD" w:rsidRDefault="004E0DCD">
            <w:pPr>
              <w:rPr>
                <w:b/>
                <w:bCs/>
              </w:rPr>
            </w:pPr>
            <w:r>
              <w:rPr>
                <w:b/>
                <w:bCs/>
              </w:rPr>
              <w:t>Adjournment</w:t>
            </w:r>
          </w:p>
        </w:tc>
      </w:tr>
    </w:tbl>
    <w:p w14:paraId="0DD9CD0D" w14:textId="77777777" w:rsidR="00BC454D" w:rsidRDefault="00BC454D"/>
    <w:sectPr w:rsidR="00BC454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0CEA" w14:textId="77777777" w:rsidR="005A53A2" w:rsidRDefault="005A53A2" w:rsidP="00BC454D">
      <w:pPr>
        <w:spacing w:line="240" w:lineRule="auto"/>
      </w:pPr>
      <w:r>
        <w:separator/>
      </w:r>
    </w:p>
  </w:endnote>
  <w:endnote w:type="continuationSeparator" w:id="0">
    <w:p w14:paraId="25315ED5" w14:textId="77777777" w:rsidR="005A53A2" w:rsidRDefault="005A53A2" w:rsidP="00BC4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347A" w14:textId="77777777" w:rsidR="005A53A2" w:rsidRDefault="005A53A2" w:rsidP="00BC454D">
      <w:pPr>
        <w:spacing w:line="240" w:lineRule="auto"/>
      </w:pPr>
      <w:r>
        <w:separator/>
      </w:r>
    </w:p>
  </w:footnote>
  <w:footnote w:type="continuationSeparator" w:id="0">
    <w:p w14:paraId="1E9C2C04" w14:textId="77777777" w:rsidR="005A53A2" w:rsidRDefault="005A53A2" w:rsidP="00BC45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E8F7" w14:textId="6A82A389" w:rsidR="00BC454D" w:rsidRPr="001E1B85" w:rsidRDefault="00BC454D" w:rsidP="00BC454D">
    <w:pPr>
      <w:tabs>
        <w:tab w:val="center" w:pos="4680"/>
        <w:tab w:val="right" w:pos="9360"/>
      </w:tabs>
      <w:spacing w:line="240" w:lineRule="auto"/>
      <w:jc w:val="center"/>
    </w:pPr>
    <w:r w:rsidRPr="001E1B85">
      <w:rPr>
        <w:noProof/>
      </w:rPr>
      <w:drawing>
        <wp:inline distT="0" distB="0" distL="0" distR="0" wp14:anchorId="01E1A91E" wp14:editId="492189E3">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CAA27AB" w14:textId="77777777" w:rsidR="00BC454D" w:rsidRPr="001E1B85" w:rsidRDefault="00BC454D" w:rsidP="00BC454D">
    <w:pPr>
      <w:tabs>
        <w:tab w:val="center" w:pos="4680"/>
        <w:tab w:val="right" w:pos="9360"/>
      </w:tabs>
      <w:spacing w:line="240" w:lineRule="auto"/>
      <w:jc w:val="center"/>
    </w:pPr>
  </w:p>
  <w:p w14:paraId="06C0A018" w14:textId="06492174" w:rsidR="00BC454D" w:rsidRPr="001E1B85" w:rsidRDefault="006B5845" w:rsidP="00BC454D">
    <w:pPr>
      <w:tabs>
        <w:tab w:val="center" w:pos="4680"/>
        <w:tab w:val="right" w:pos="9360"/>
      </w:tabs>
      <w:spacing w:line="240" w:lineRule="auto"/>
      <w:jc w:val="center"/>
      <w:rPr>
        <w:b/>
        <w:sz w:val="24"/>
        <w:szCs w:val="24"/>
      </w:rPr>
    </w:pPr>
    <w:r>
      <w:rPr>
        <w:b/>
        <w:sz w:val="24"/>
        <w:szCs w:val="24"/>
      </w:rPr>
      <w:t>Board of Trustees</w:t>
    </w:r>
    <w:r w:rsidR="00BC454D">
      <w:rPr>
        <w:b/>
        <w:sz w:val="24"/>
        <w:szCs w:val="24"/>
      </w:rPr>
      <w:t xml:space="preserve"> </w:t>
    </w:r>
    <w:r w:rsidR="005A53A2">
      <w:rPr>
        <w:b/>
        <w:sz w:val="24"/>
        <w:szCs w:val="24"/>
      </w:rPr>
      <w:t>Meeting</w:t>
    </w:r>
  </w:p>
  <w:p w14:paraId="26CA6B72" w14:textId="5DEEE1E3" w:rsidR="00BC454D" w:rsidRPr="001E1B85" w:rsidRDefault="005A53A2" w:rsidP="00BC454D">
    <w:pPr>
      <w:tabs>
        <w:tab w:val="center" w:pos="4680"/>
        <w:tab w:val="right" w:pos="9360"/>
      </w:tabs>
      <w:spacing w:line="240" w:lineRule="auto"/>
      <w:jc w:val="center"/>
      <w:rPr>
        <w:i/>
        <w:sz w:val="24"/>
        <w:szCs w:val="24"/>
      </w:rPr>
    </w:pPr>
    <w:r>
      <w:rPr>
        <w:b/>
        <w:sz w:val="24"/>
        <w:szCs w:val="24"/>
      </w:rPr>
      <w:t>December 8</w:t>
    </w:r>
    <w:r w:rsidR="00BC454D" w:rsidRPr="001E1B85">
      <w:rPr>
        <w:b/>
        <w:sz w:val="24"/>
        <w:szCs w:val="24"/>
      </w:rPr>
      <w:t>, 202</w:t>
    </w:r>
    <w:r w:rsidR="00BC454D">
      <w:rPr>
        <w:b/>
        <w:sz w:val="24"/>
        <w:szCs w:val="24"/>
      </w:rPr>
      <w:t>3</w:t>
    </w:r>
  </w:p>
  <w:p w14:paraId="3E88CD21" w14:textId="2966C0E5" w:rsidR="00BC454D" w:rsidRPr="000C5245" w:rsidRDefault="005A53A2" w:rsidP="00BC454D">
    <w:pPr>
      <w:tabs>
        <w:tab w:val="center" w:pos="4680"/>
        <w:tab w:val="right" w:pos="9360"/>
      </w:tabs>
      <w:spacing w:line="240" w:lineRule="auto"/>
      <w:jc w:val="center"/>
      <w:rPr>
        <w:b/>
        <w:bCs/>
        <w:iCs/>
        <w:sz w:val="24"/>
        <w:szCs w:val="24"/>
      </w:rPr>
    </w:pPr>
    <w:r>
      <w:rPr>
        <w:b/>
        <w:bCs/>
        <w:iCs/>
        <w:sz w:val="24"/>
        <w:szCs w:val="24"/>
      </w:rPr>
      <w:t>12:00 p.m.</w:t>
    </w:r>
    <w:r w:rsidR="00BC454D" w:rsidRPr="000C5245">
      <w:rPr>
        <w:b/>
        <w:bCs/>
        <w:iCs/>
        <w:sz w:val="24"/>
        <w:szCs w:val="24"/>
      </w:rPr>
      <w:t xml:space="preserve"> – </w:t>
    </w:r>
    <w:r>
      <w:rPr>
        <w:b/>
        <w:bCs/>
        <w:iCs/>
        <w:sz w:val="24"/>
        <w:szCs w:val="24"/>
      </w:rPr>
      <w:t>12</w:t>
    </w:r>
    <w:r w:rsidR="00BC454D" w:rsidRPr="000C5245">
      <w:rPr>
        <w:b/>
        <w:bCs/>
        <w:iCs/>
        <w:sz w:val="24"/>
        <w:szCs w:val="24"/>
      </w:rPr>
      <w:t>:</w:t>
    </w:r>
    <w:r w:rsidR="00D01646">
      <w:rPr>
        <w:b/>
        <w:bCs/>
        <w:iCs/>
        <w:sz w:val="24"/>
        <w:szCs w:val="24"/>
      </w:rPr>
      <w:t>30</w:t>
    </w:r>
    <w:r w:rsidR="00BC454D" w:rsidRPr="000C5245">
      <w:rPr>
        <w:b/>
        <w:bCs/>
        <w:iCs/>
        <w:sz w:val="24"/>
        <w:szCs w:val="24"/>
      </w:rPr>
      <w:t xml:space="preserve"> p.m.</w:t>
    </w:r>
  </w:p>
  <w:p w14:paraId="2132473A" w14:textId="77777777" w:rsidR="00BC454D" w:rsidRDefault="00BC454D" w:rsidP="00BC454D">
    <w:pPr>
      <w:pStyle w:val="Header"/>
      <w:jc w:val="center"/>
      <w:rPr>
        <w:i/>
        <w:iCs/>
      </w:rPr>
    </w:pPr>
  </w:p>
  <w:p w14:paraId="4A1657D4" w14:textId="67C25511" w:rsidR="006B5845" w:rsidRPr="006B5845" w:rsidRDefault="005A53A2" w:rsidP="006B5845">
    <w:pPr>
      <w:pStyle w:val="Header"/>
      <w:jc w:val="center"/>
    </w:pPr>
    <w:r>
      <w:rPr>
        <w:i/>
        <w:iCs/>
      </w:rPr>
      <w:t>Virtual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A2"/>
    <w:rsid w:val="000D02FE"/>
    <w:rsid w:val="001E0AA0"/>
    <w:rsid w:val="00253A3E"/>
    <w:rsid w:val="0040492B"/>
    <w:rsid w:val="0041177C"/>
    <w:rsid w:val="004E0DCD"/>
    <w:rsid w:val="005A53A2"/>
    <w:rsid w:val="006176B3"/>
    <w:rsid w:val="006B5845"/>
    <w:rsid w:val="0071787D"/>
    <w:rsid w:val="00964021"/>
    <w:rsid w:val="00A34C6A"/>
    <w:rsid w:val="00A77698"/>
    <w:rsid w:val="00BC454D"/>
    <w:rsid w:val="00CD27B4"/>
    <w:rsid w:val="00D01646"/>
    <w:rsid w:val="00FB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3E9EE"/>
  <w15:chartTrackingRefBased/>
  <w15:docId w15:val="{3A0D4272-325D-4434-A5A1-8BE1E7E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B4"/>
    <w:pPr>
      <w:spacing w:after="0"/>
    </w:pPr>
    <w:rPr>
      <w:rFonts w:ascii="Book Antiqua" w:hAnsi="Book Antiqua"/>
    </w:rPr>
  </w:style>
  <w:style w:type="paragraph" w:styleId="Heading1">
    <w:name w:val="heading 1"/>
    <w:basedOn w:val="Normal"/>
    <w:next w:val="Normal"/>
    <w:link w:val="Heading1Char"/>
    <w:uiPriority w:val="9"/>
    <w:qFormat/>
    <w:rsid w:val="00BC454D"/>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253A3E"/>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A3E"/>
    <w:rPr>
      <w:rFonts w:ascii="Book Antiqua" w:eastAsiaTheme="majorEastAsia" w:hAnsi="Book Antiqua" w:cstheme="majorBidi"/>
      <w:b/>
      <w:sz w:val="24"/>
      <w:szCs w:val="26"/>
    </w:rPr>
  </w:style>
  <w:style w:type="table" w:styleId="TableGrid">
    <w:name w:val="Table Grid"/>
    <w:basedOn w:val="TableNormal"/>
    <w:uiPriority w:val="39"/>
    <w:rsid w:val="00B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54D"/>
    <w:pPr>
      <w:tabs>
        <w:tab w:val="center" w:pos="4680"/>
        <w:tab w:val="right" w:pos="9360"/>
      </w:tabs>
      <w:spacing w:line="240" w:lineRule="auto"/>
    </w:pPr>
  </w:style>
  <w:style w:type="character" w:customStyle="1" w:styleId="HeaderChar">
    <w:name w:val="Header Char"/>
    <w:basedOn w:val="DefaultParagraphFont"/>
    <w:link w:val="Header"/>
    <w:uiPriority w:val="99"/>
    <w:rsid w:val="00BC454D"/>
    <w:rPr>
      <w:rFonts w:ascii="Book Antiqua" w:hAnsi="Book Antiqua"/>
    </w:rPr>
  </w:style>
  <w:style w:type="paragraph" w:styleId="Footer">
    <w:name w:val="footer"/>
    <w:basedOn w:val="Normal"/>
    <w:link w:val="FooterChar"/>
    <w:uiPriority w:val="99"/>
    <w:unhideWhenUsed/>
    <w:rsid w:val="00BC454D"/>
    <w:pPr>
      <w:tabs>
        <w:tab w:val="center" w:pos="4680"/>
        <w:tab w:val="right" w:pos="9360"/>
      </w:tabs>
      <w:spacing w:line="240" w:lineRule="auto"/>
    </w:pPr>
  </w:style>
  <w:style w:type="character" w:customStyle="1" w:styleId="FooterChar">
    <w:name w:val="Footer Char"/>
    <w:basedOn w:val="DefaultParagraphFont"/>
    <w:link w:val="Footer"/>
    <w:uiPriority w:val="99"/>
    <w:rsid w:val="00BC454D"/>
    <w:rPr>
      <w:rFonts w:ascii="Book Antiqua" w:hAnsi="Book Antiqua"/>
    </w:rPr>
  </w:style>
  <w:style w:type="character" w:customStyle="1" w:styleId="Heading1Char">
    <w:name w:val="Heading 1 Char"/>
    <w:basedOn w:val="DefaultParagraphFont"/>
    <w:link w:val="Heading1"/>
    <w:uiPriority w:val="9"/>
    <w:rsid w:val="00BC454D"/>
    <w:rPr>
      <w:rFonts w:ascii="Book Antiqua" w:eastAsiaTheme="majorEastAsia" w:hAnsi="Book Antiqua" w:cstheme="majorBidi"/>
      <w:b/>
      <w:sz w:val="24"/>
      <w:szCs w:val="32"/>
    </w:rPr>
  </w:style>
  <w:style w:type="paragraph" w:styleId="ListParagraph">
    <w:name w:val="List Paragraph"/>
    <w:basedOn w:val="Normal"/>
    <w:uiPriority w:val="34"/>
    <w:qFormat/>
    <w:rsid w:val="0071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nfcsd.unf.edu\files\global\BOT\AAA%20--%20Meeting%20Folders\Meetings%20Materials\TEMPLATES\Agenda%20Template\BOT%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BOT Agenda Template</Template>
  <TotalTime>2</TotalTime>
  <Pages>3</Pages>
  <Words>848</Words>
  <Characters>4935</Characters>
  <Application>Microsoft Office Word</Application>
  <DocSecurity>0</DocSecurity>
  <Lines>109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dc:description/>
  <cp:lastModifiedBy>Fishman, Ann</cp:lastModifiedBy>
  <cp:revision>4</cp:revision>
  <dcterms:created xsi:type="dcterms:W3CDTF">2023-11-30T19:45:00Z</dcterms:created>
  <dcterms:modified xsi:type="dcterms:W3CDTF">2023-11-30T19:47:00Z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63a828fc-b614-4eb6-b2cf-a4fc52a3d2a9</vt:lpwstr>
  </property>
</Properties>
</file>