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03AC" w14:textId="70C9E6B4" w:rsidR="00C41964" w:rsidRDefault="00C41964" w:rsidP="00C41964">
      <w:pPr>
        <w:pStyle w:val="Heading1"/>
        <w:spacing w:before="0"/>
        <w:jc w:val="center"/>
      </w:pPr>
      <w:r>
        <w:t>MINUTES</w:t>
      </w:r>
    </w:p>
    <w:p w14:paraId="74C0B2EE" w14:textId="440F7D1F" w:rsidR="00C41964" w:rsidRPr="00C41964" w:rsidRDefault="002F4085" w:rsidP="00C41964">
      <w:pPr>
        <w:spacing w:before="240" w:after="160" w:line="259" w:lineRule="auto"/>
      </w:pPr>
      <w:r>
        <w:rPr>
          <w:b/>
          <w:bCs/>
        </w:rPr>
        <w:t>Members Present</w:t>
      </w:r>
      <w:r w:rsidR="00C41964" w:rsidRPr="00C41964">
        <w:rPr>
          <w:b/>
          <w:bCs/>
        </w:rPr>
        <w:t xml:space="preserve">: </w:t>
      </w:r>
      <w:r w:rsidR="00C41964" w:rsidRPr="00C41964">
        <w:t>Kevin Hyde (Chair), Nik Patel, Paul McElroy, John Gol, Annie Egan</w:t>
      </w:r>
    </w:p>
    <w:p w14:paraId="285BAFE8" w14:textId="30A579C7" w:rsidR="00C41964" w:rsidRDefault="002F4085" w:rsidP="00C41964">
      <w:pPr>
        <w:spacing w:after="160" w:line="259" w:lineRule="auto"/>
      </w:pPr>
      <w:r>
        <w:rPr>
          <w:b/>
          <w:bCs/>
        </w:rPr>
        <w:t xml:space="preserve">Members </w:t>
      </w:r>
      <w:r w:rsidR="00C41964" w:rsidRPr="00C41964">
        <w:rPr>
          <w:b/>
          <w:bCs/>
        </w:rPr>
        <w:t>Absent:</w:t>
      </w:r>
      <w:r w:rsidR="00C41964" w:rsidRPr="00C41964">
        <w:t xml:space="preserve"> Allison Korman Shelton</w:t>
      </w:r>
    </w:p>
    <w:tbl>
      <w:tblPr>
        <w:tblStyle w:val="TableGrid"/>
        <w:tblW w:w="945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745"/>
      </w:tblGrid>
      <w:tr w:rsidR="00C41964" w14:paraId="42C6A10D" w14:textId="77777777" w:rsidTr="00C41964">
        <w:tc>
          <w:tcPr>
            <w:tcW w:w="1705" w:type="dxa"/>
            <w:hideMark/>
          </w:tcPr>
          <w:p w14:paraId="607829A0" w14:textId="77777777" w:rsidR="00C41964" w:rsidRDefault="00C41964">
            <w:pPr>
              <w:spacing w:line="240" w:lineRule="auto"/>
              <w:rPr>
                <w:b/>
                <w:bCs/>
              </w:rPr>
            </w:pPr>
            <w:r>
              <w:rPr>
                <w:b/>
                <w:bCs/>
              </w:rPr>
              <w:t>Item 1</w:t>
            </w:r>
          </w:p>
        </w:tc>
        <w:tc>
          <w:tcPr>
            <w:tcW w:w="7745" w:type="dxa"/>
          </w:tcPr>
          <w:p w14:paraId="7CE1D0DD" w14:textId="77777777" w:rsidR="00C41964" w:rsidRDefault="00C41964">
            <w:pPr>
              <w:spacing w:line="240" w:lineRule="auto"/>
              <w:rPr>
                <w:b/>
                <w:bCs/>
              </w:rPr>
            </w:pPr>
            <w:r>
              <w:rPr>
                <w:b/>
                <w:bCs/>
              </w:rPr>
              <w:t>Call to Order</w:t>
            </w:r>
          </w:p>
          <w:p w14:paraId="7E16A425" w14:textId="711205B0" w:rsidR="00C41964" w:rsidRDefault="00C41964">
            <w:pPr>
              <w:spacing w:line="240" w:lineRule="auto"/>
            </w:pPr>
            <w:r>
              <w:t>Chair Hyde recognized a quorum and called the meeting to order at 2:15 p.m.</w:t>
            </w:r>
          </w:p>
          <w:p w14:paraId="45A41501" w14:textId="77777777" w:rsidR="00C41964" w:rsidRDefault="00C41964">
            <w:pPr>
              <w:spacing w:line="240" w:lineRule="auto"/>
            </w:pPr>
          </w:p>
        </w:tc>
      </w:tr>
      <w:tr w:rsidR="00C41964" w14:paraId="4E0D8604" w14:textId="77777777" w:rsidTr="00C41964">
        <w:tc>
          <w:tcPr>
            <w:tcW w:w="1705" w:type="dxa"/>
            <w:hideMark/>
          </w:tcPr>
          <w:p w14:paraId="591D59D2" w14:textId="77777777" w:rsidR="00C41964" w:rsidRDefault="00C41964">
            <w:pPr>
              <w:spacing w:line="240" w:lineRule="auto"/>
              <w:rPr>
                <w:b/>
                <w:bCs/>
              </w:rPr>
            </w:pPr>
            <w:r>
              <w:rPr>
                <w:b/>
                <w:bCs/>
              </w:rPr>
              <w:t>Item 2</w:t>
            </w:r>
          </w:p>
        </w:tc>
        <w:tc>
          <w:tcPr>
            <w:tcW w:w="7745" w:type="dxa"/>
          </w:tcPr>
          <w:p w14:paraId="560BAEEB" w14:textId="77777777" w:rsidR="00C41964" w:rsidRDefault="00C41964">
            <w:pPr>
              <w:pStyle w:val="Heading2"/>
              <w:spacing w:line="240" w:lineRule="auto"/>
              <w:ind w:left="1440" w:hanging="1440"/>
            </w:pPr>
            <w:r>
              <w:t xml:space="preserve">Public Comment </w:t>
            </w:r>
          </w:p>
          <w:p w14:paraId="19426137" w14:textId="7EEDCDFA" w:rsidR="00C41964" w:rsidRDefault="00C41964">
            <w:pPr>
              <w:spacing w:line="240" w:lineRule="auto"/>
            </w:pPr>
            <w:r>
              <w:t>Chair Hyde offered those in attendance the opportunity for public comment.</w:t>
            </w:r>
          </w:p>
          <w:p w14:paraId="2298276A" w14:textId="26CD637A" w:rsidR="00C41964" w:rsidRDefault="00C41964">
            <w:pPr>
              <w:spacing w:line="240" w:lineRule="auto"/>
            </w:pPr>
            <w:r>
              <w:t xml:space="preserve">There </w:t>
            </w:r>
            <w:r w:rsidR="00603411">
              <w:t>were n</w:t>
            </w:r>
            <w:r>
              <w:t>o requests for public comment.</w:t>
            </w:r>
          </w:p>
          <w:p w14:paraId="422CDC55" w14:textId="77777777" w:rsidR="00C41964" w:rsidRDefault="00C41964">
            <w:pPr>
              <w:spacing w:line="240" w:lineRule="auto"/>
            </w:pPr>
          </w:p>
        </w:tc>
      </w:tr>
      <w:tr w:rsidR="00C41964" w14:paraId="2DB53EA3" w14:textId="77777777" w:rsidTr="00C41964">
        <w:tc>
          <w:tcPr>
            <w:tcW w:w="1705" w:type="dxa"/>
            <w:hideMark/>
          </w:tcPr>
          <w:p w14:paraId="77DB18D2" w14:textId="77777777" w:rsidR="00C41964" w:rsidRDefault="00C41964">
            <w:pPr>
              <w:spacing w:line="240" w:lineRule="auto"/>
              <w:rPr>
                <w:b/>
                <w:bCs/>
              </w:rPr>
            </w:pPr>
            <w:r>
              <w:rPr>
                <w:b/>
                <w:bCs/>
              </w:rPr>
              <w:t>Item 3</w:t>
            </w:r>
          </w:p>
        </w:tc>
        <w:tc>
          <w:tcPr>
            <w:tcW w:w="7745" w:type="dxa"/>
          </w:tcPr>
          <w:p w14:paraId="2B543A89" w14:textId="77777777" w:rsidR="00C41964" w:rsidRDefault="00C41964">
            <w:pPr>
              <w:spacing w:line="240" w:lineRule="auto"/>
              <w:rPr>
                <w:b/>
                <w:bCs/>
              </w:rPr>
            </w:pPr>
            <w:r>
              <w:rPr>
                <w:b/>
                <w:bCs/>
              </w:rPr>
              <w:t>Consent Agenda</w:t>
            </w:r>
          </w:p>
          <w:p w14:paraId="59565230" w14:textId="77777777" w:rsidR="00C41964" w:rsidRDefault="00C41964">
            <w:pPr>
              <w:spacing w:line="240" w:lineRule="auto"/>
            </w:pPr>
            <w:r>
              <w:t>-Draft June 12, 2023, Governance Committee Meeting Minutes</w:t>
            </w:r>
          </w:p>
          <w:p w14:paraId="5F9BF305" w14:textId="77777777" w:rsidR="00C41964" w:rsidRDefault="00C41964">
            <w:pPr>
              <w:spacing w:line="240" w:lineRule="auto"/>
            </w:pPr>
          </w:p>
          <w:p w14:paraId="0A15D0F5" w14:textId="7082672F" w:rsidR="00C41964" w:rsidRDefault="00C41964">
            <w:pPr>
              <w:spacing w:line="240" w:lineRule="auto"/>
              <w:rPr>
                <w:bCs/>
              </w:rPr>
            </w:pPr>
            <w:r w:rsidRPr="00C41964">
              <w:rPr>
                <w:bCs/>
              </w:rPr>
              <w:t xml:space="preserve">Chair Hyde asked for a MOTION to approve the above consent agenda. Trustee McElroy made a MOTION to APPROVE, and Trustee </w:t>
            </w:r>
            <w:r>
              <w:rPr>
                <w:bCs/>
              </w:rPr>
              <w:t>Gol</w:t>
            </w:r>
            <w:r w:rsidRPr="00C41964">
              <w:rPr>
                <w:bCs/>
              </w:rPr>
              <w:t xml:space="preserve"> SECONDED. The </w:t>
            </w:r>
            <w:r>
              <w:rPr>
                <w:bCs/>
              </w:rPr>
              <w:t>consent agenda</w:t>
            </w:r>
            <w:r w:rsidRPr="00C41964">
              <w:rPr>
                <w:bCs/>
              </w:rPr>
              <w:t xml:space="preserve"> was approved unanimously by the committee. </w:t>
            </w:r>
          </w:p>
          <w:p w14:paraId="79CFA336" w14:textId="0766B40B" w:rsidR="00C41964" w:rsidRPr="00C41964" w:rsidRDefault="00C41964">
            <w:pPr>
              <w:spacing w:line="240" w:lineRule="auto"/>
              <w:rPr>
                <w:bCs/>
              </w:rPr>
            </w:pPr>
          </w:p>
        </w:tc>
      </w:tr>
      <w:tr w:rsidR="00C41964" w14:paraId="0847233C" w14:textId="77777777" w:rsidTr="00C41964">
        <w:tc>
          <w:tcPr>
            <w:tcW w:w="1705" w:type="dxa"/>
          </w:tcPr>
          <w:p w14:paraId="1D30BBF9" w14:textId="77777777" w:rsidR="00C41964" w:rsidRDefault="00C41964">
            <w:pPr>
              <w:spacing w:line="240" w:lineRule="auto"/>
              <w:rPr>
                <w:b/>
                <w:bCs/>
              </w:rPr>
            </w:pPr>
            <w:r>
              <w:rPr>
                <w:b/>
                <w:bCs/>
              </w:rPr>
              <w:t>Item 4</w:t>
            </w:r>
          </w:p>
          <w:p w14:paraId="71A8013E" w14:textId="77777777" w:rsidR="00C41964" w:rsidRDefault="00C41964">
            <w:pPr>
              <w:spacing w:line="240" w:lineRule="auto"/>
              <w:rPr>
                <w:b/>
                <w:bCs/>
              </w:rPr>
            </w:pPr>
          </w:p>
        </w:tc>
        <w:tc>
          <w:tcPr>
            <w:tcW w:w="7745" w:type="dxa"/>
            <w:vAlign w:val="center"/>
          </w:tcPr>
          <w:p w14:paraId="554493CB" w14:textId="77777777" w:rsidR="00C41964" w:rsidRDefault="00C41964">
            <w:pPr>
              <w:pStyle w:val="Heading2"/>
              <w:spacing w:line="240" w:lineRule="auto"/>
              <w:ind w:left="1440" w:hanging="1440"/>
            </w:pPr>
            <w:bookmarkStart w:id="0" w:name="_Hlk135316322"/>
            <w:r>
              <w:t>Approval of Newly Appointed and Reappointed Board Member</w:t>
            </w:r>
          </w:p>
          <w:p w14:paraId="42E6BEB8" w14:textId="77777777" w:rsidR="00C41964" w:rsidRDefault="00C41964">
            <w:pPr>
              <w:pStyle w:val="Heading2"/>
              <w:spacing w:line="240" w:lineRule="auto"/>
              <w:ind w:hanging="15"/>
            </w:pPr>
            <w:r>
              <w:t>for MOCA Jacksonville, a UNF Direct Support Organization (DSOs)</w:t>
            </w:r>
            <w:bookmarkEnd w:id="0"/>
          </w:p>
          <w:p w14:paraId="1022E708" w14:textId="77777777" w:rsidR="00603411" w:rsidRDefault="00A95FBA" w:rsidP="00F216F3">
            <w:pPr>
              <w:spacing w:line="240" w:lineRule="auto"/>
              <w:ind w:right="-105"/>
            </w:pPr>
            <w:r>
              <w:t xml:space="preserve">Caitlin Doherty, Executive Director of MOCA, presented </w:t>
            </w:r>
            <w:r w:rsidR="00C47ED0">
              <w:t>two new potential board members who have both been</w:t>
            </w:r>
            <w:r w:rsidR="003869AC">
              <w:t xml:space="preserve"> unanimously</w:t>
            </w:r>
            <w:r w:rsidR="00C47ED0">
              <w:t xml:space="preserve"> recommended by MOCA’s governance committee, as well as MOCA’s Board of Trustees</w:t>
            </w:r>
            <w:r w:rsidR="003869AC">
              <w:t>.</w:t>
            </w:r>
            <w:r w:rsidR="00431657">
              <w:t xml:space="preserve"> </w:t>
            </w:r>
            <w:r w:rsidR="004A4B25">
              <w:t>Ms. Doherty noted the first proposed member</w:t>
            </w:r>
            <w:r w:rsidR="00C441EC">
              <w:t>, Emily Sullivan,</w:t>
            </w:r>
            <w:r w:rsidR="004A4B25">
              <w:t xml:space="preserve"> is hist</w:t>
            </w:r>
            <w:r w:rsidR="00A62379">
              <w:t xml:space="preserve">oric, as </w:t>
            </w:r>
            <w:r w:rsidR="00E767AC">
              <w:t xml:space="preserve">it is the first presentation of a UNF student board member </w:t>
            </w:r>
            <w:r w:rsidR="00C441EC">
              <w:t>to sit on MOCA’s board.</w:t>
            </w:r>
            <w:r w:rsidR="00E85D65">
              <w:t xml:space="preserve"> Ms. Sullivan will serve a one-year term with the opportunity of </w:t>
            </w:r>
            <w:r w:rsidR="00F216F3">
              <w:t>renewal</w:t>
            </w:r>
            <w:r w:rsidR="00E85D65">
              <w:t xml:space="preserve"> </w:t>
            </w:r>
            <w:r w:rsidR="0001113F">
              <w:t xml:space="preserve">and have full voting rights. Ms. Sullivan will sit on the education committee and </w:t>
            </w:r>
            <w:r w:rsidR="00603411">
              <w:t>will</w:t>
            </w:r>
            <w:r w:rsidR="0001113F">
              <w:t xml:space="preserve"> be a liaison to </w:t>
            </w:r>
            <w:r w:rsidR="00BB11DD">
              <w:t>the 17,000 UNF student voices.</w:t>
            </w:r>
            <w:r w:rsidR="00CC3DFB">
              <w:t xml:space="preserve"> Emily Sullivan is a distinguished leader</w:t>
            </w:r>
            <w:r w:rsidR="00951C8B">
              <w:t xml:space="preserve"> in the UNF community</w:t>
            </w:r>
            <w:r w:rsidR="007D4912">
              <w:t>, as well as a stellar academic student</w:t>
            </w:r>
            <w:r w:rsidR="00951C8B">
              <w:t>.</w:t>
            </w:r>
            <w:r w:rsidR="00603411">
              <w:t xml:space="preserve">  </w:t>
            </w:r>
          </w:p>
          <w:p w14:paraId="48A8C97D" w14:textId="77777777" w:rsidR="00603411" w:rsidRDefault="00603411" w:rsidP="00F216F3">
            <w:pPr>
              <w:spacing w:line="240" w:lineRule="auto"/>
              <w:ind w:right="-105"/>
            </w:pPr>
          </w:p>
          <w:p w14:paraId="0C891E57" w14:textId="5D334677" w:rsidR="00A95FBA" w:rsidRDefault="00603411" w:rsidP="00F216F3">
            <w:pPr>
              <w:spacing w:line="240" w:lineRule="auto"/>
              <w:ind w:right="-105"/>
            </w:pPr>
            <w:r>
              <w:t>T</w:t>
            </w:r>
            <w:r w:rsidR="00740B72">
              <w:t>he second proposed member is Kevin Callowa</w:t>
            </w:r>
            <w:r>
              <w:t xml:space="preserve">y, </w:t>
            </w:r>
            <w:r w:rsidR="00E704C9">
              <w:t xml:space="preserve">an entrepreneur based in the world of tech enterprise and software development in Jacksonville, FL. </w:t>
            </w:r>
            <w:r w:rsidR="0000109E">
              <w:t xml:space="preserve">Mr. Calloway is an art collector and the founder and leader of two </w:t>
            </w:r>
            <w:r w:rsidR="003927C6">
              <w:t xml:space="preserve">local </w:t>
            </w:r>
            <w:r w:rsidR="0000109E">
              <w:t>galleries</w:t>
            </w:r>
            <w:r w:rsidR="003927C6">
              <w:t xml:space="preserve">. </w:t>
            </w:r>
          </w:p>
          <w:p w14:paraId="3AE928A4" w14:textId="77777777" w:rsidR="00D31D00" w:rsidRDefault="00D31D00" w:rsidP="00F216F3">
            <w:pPr>
              <w:spacing w:line="240" w:lineRule="auto"/>
              <w:ind w:right="-105"/>
            </w:pPr>
          </w:p>
          <w:p w14:paraId="1AD6E631" w14:textId="764161CB" w:rsidR="00C41964" w:rsidRDefault="00D31D00" w:rsidP="00D37839">
            <w:pPr>
              <w:spacing w:line="240" w:lineRule="auto"/>
              <w:ind w:right="-105"/>
            </w:pPr>
            <w:r>
              <w:t>Chair Hyde offered the opportunity fo</w:t>
            </w:r>
            <w:r w:rsidR="00922DE3">
              <w:t xml:space="preserve">r questions </w:t>
            </w:r>
            <w:r w:rsidR="00744110">
              <w:t xml:space="preserve">and noted he is excited about the student representation on the MOCA Board. Trustee Grosso </w:t>
            </w:r>
            <w:r w:rsidR="00334EEB">
              <w:t xml:space="preserve">shared his excitement </w:t>
            </w:r>
            <w:r w:rsidR="003C439F">
              <w:t>and support</w:t>
            </w:r>
            <w:r w:rsidR="00D37839">
              <w:t xml:space="preserve"> </w:t>
            </w:r>
            <w:r w:rsidR="00C802FC">
              <w:t xml:space="preserve">about the opportunity for his colleague, </w:t>
            </w:r>
            <w:r w:rsidR="00D37839">
              <w:t xml:space="preserve">Emily </w:t>
            </w:r>
            <w:r w:rsidR="00D37839">
              <w:lastRenderedPageBreak/>
              <w:t xml:space="preserve">Sullivan, </w:t>
            </w:r>
            <w:r w:rsidR="00C802FC">
              <w:t xml:space="preserve">as the two work closely together </w:t>
            </w:r>
            <w:r w:rsidR="00603411">
              <w:t>in</w:t>
            </w:r>
            <w:r w:rsidR="00C802FC">
              <w:t xml:space="preserve"> UNF Student Government</w:t>
            </w:r>
            <w:r w:rsidR="00D37839">
              <w:t>.</w:t>
            </w:r>
            <w:r w:rsidR="0040214C">
              <w:t xml:space="preserve"> </w:t>
            </w:r>
            <w:r w:rsidR="005D099B">
              <w:t xml:space="preserve">Additionally, Chair Hyde stated he is </w:t>
            </w:r>
            <w:r w:rsidR="00DA26EE">
              <w:t xml:space="preserve">thrilled about the second candidate, Kevin Calloway, as this is someone who will bring real </w:t>
            </w:r>
            <w:r w:rsidR="00E73F0D">
              <w:t>practical</w:t>
            </w:r>
            <w:r w:rsidR="00DA26EE">
              <w:t xml:space="preserve"> experience </w:t>
            </w:r>
            <w:r w:rsidR="00E73F0D">
              <w:t>in</w:t>
            </w:r>
            <w:r w:rsidR="00DA26EE">
              <w:t xml:space="preserve"> the art world to </w:t>
            </w:r>
            <w:r w:rsidR="00E73F0D">
              <w:t>the community.</w:t>
            </w:r>
          </w:p>
          <w:p w14:paraId="4228DF78" w14:textId="77777777" w:rsidR="00D37839" w:rsidRDefault="00D37839" w:rsidP="00D37839">
            <w:pPr>
              <w:spacing w:line="240" w:lineRule="auto"/>
              <w:ind w:right="-105"/>
            </w:pPr>
          </w:p>
          <w:p w14:paraId="7B51470A" w14:textId="781F3EEB" w:rsidR="00C41964" w:rsidRDefault="0040214C">
            <w:pPr>
              <w:spacing w:line="240" w:lineRule="auto"/>
              <w:rPr>
                <w:bCs/>
              </w:rPr>
            </w:pPr>
            <w:r w:rsidRPr="0040214C">
              <w:rPr>
                <w:bCs/>
              </w:rPr>
              <w:t xml:space="preserve">Chair Hyde asked for a MOTION to approve the two proposed members. Trustee McElroy made a MOTION to APPROVE, and Trustee Gol SECONDED. The motion was approved unanimously by the committee. </w:t>
            </w:r>
          </w:p>
          <w:p w14:paraId="1102AF9D" w14:textId="77777777" w:rsidR="00701731" w:rsidRDefault="00701731">
            <w:pPr>
              <w:spacing w:line="240" w:lineRule="auto"/>
              <w:rPr>
                <w:bCs/>
              </w:rPr>
            </w:pPr>
          </w:p>
          <w:p w14:paraId="42A384B0" w14:textId="374C4396" w:rsidR="00701731" w:rsidRPr="00D67BFA" w:rsidRDefault="00701731">
            <w:pPr>
              <w:spacing w:line="240" w:lineRule="auto"/>
              <w:rPr>
                <w:bCs/>
              </w:rPr>
            </w:pPr>
            <w:r>
              <w:rPr>
                <w:bCs/>
              </w:rPr>
              <w:t xml:space="preserve">Ms. Doherty </w:t>
            </w:r>
            <w:r w:rsidR="00603411">
              <w:rPr>
                <w:bCs/>
              </w:rPr>
              <w:t>provided a brief</w:t>
            </w:r>
            <w:r w:rsidR="00DC3CCC">
              <w:rPr>
                <w:bCs/>
              </w:rPr>
              <w:t xml:space="preserve"> </w:t>
            </w:r>
            <w:r w:rsidR="00730397">
              <w:rPr>
                <w:bCs/>
              </w:rPr>
              <w:t>update to MOCA’s 100</w:t>
            </w:r>
            <w:r w:rsidR="00730397" w:rsidRPr="00730397">
              <w:rPr>
                <w:bCs/>
                <w:vertAlign w:val="superscript"/>
              </w:rPr>
              <w:t>th</w:t>
            </w:r>
            <w:r w:rsidR="00730397">
              <w:rPr>
                <w:bCs/>
              </w:rPr>
              <w:t xml:space="preserve"> </w:t>
            </w:r>
            <w:r w:rsidR="00603411">
              <w:rPr>
                <w:bCs/>
              </w:rPr>
              <w:t>A</w:t>
            </w:r>
            <w:r w:rsidR="00730397">
              <w:rPr>
                <w:bCs/>
              </w:rPr>
              <w:t xml:space="preserve">nniversary project. </w:t>
            </w:r>
            <w:r w:rsidR="00ED1195">
              <w:rPr>
                <w:bCs/>
              </w:rPr>
              <w:t>F</w:t>
            </w:r>
            <w:r w:rsidR="00A73E10">
              <w:rPr>
                <w:bCs/>
              </w:rPr>
              <w:t xml:space="preserve">rom a curatorial </w:t>
            </w:r>
            <w:r w:rsidR="00860D28">
              <w:rPr>
                <w:bCs/>
              </w:rPr>
              <w:t>perspective, she is delighted</w:t>
            </w:r>
            <w:r w:rsidR="00ED1195">
              <w:rPr>
                <w:bCs/>
              </w:rPr>
              <w:t xml:space="preserve"> to share</w:t>
            </w:r>
            <w:r w:rsidR="00860D28">
              <w:rPr>
                <w:bCs/>
              </w:rPr>
              <w:t xml:space="preserve"> that Frank Stella, </w:t>
            </w:r>
            <w:r w:rsidR="008E5AD3">
              <w:rPr>
                <w:bCs/>
              </w:rPr>
              <w:t xml:space="preserve">the foremost </w:t>
            </w:r>
            <w:r w:rsidR="00860D28">
              <w:rPr>
                <w:bCs/>
              </w:rPr>
              <w:t>contemporary sculptor</w:t>
            </w:r>
            <w:r w:rsidR="008E5AD3">
              <w:rPr>
                <w:bCs/>
              </w:rPr>
              <w:t xml:space="preserve"> working in America today</w:t>
            </w:r>
            <w:r w:rsidR="00ED1195">
              <w:rPr>
                <w:bCs/>
              </w:rPr>
              <w:t xml:space="preserve">, </w:t>
            </w:r>
            <w:r w:rsidR="0054716C">
              <w:rPr>
                <w:bCs/>
              </w:rPr>
              <w:t xml:space="preserve">has agreed to create a new </w:t>
            </w:r>
            <w:r w:rsidR="00AF5933">
              <w:rPr>
                <w:bCs/>
              </w:rPr>
              <w:t>piece</w:t>
            </w:r>
            <w:r w:rsidR="0054716C">
              <w:rPr>
                <w:bCs/>
              </w:rPr>
              <w:t xml:space="preserve"> of scul</w:t>
            </w:r>
            <w:r w:rsidR="00AF5933">
              <w:rPr>
                <w:bCs/>
              </w:rPr>
              <w:t xml:space="preserve">pture for MOCA’s atrium. The piece is called </w:t>
            </w:r>
            <w:r w:rsidR="00AF5933">
              <w:rPr>
                <w:bCs/>
                <w:i/>
                <w:iCs/>
              </w:rPr>
              <w:t>Jacksonville Stacked Stars</w:t>
            </w:r>
            <w:r w:rsidR="009944EF">
              <w:rPr>
                <w:bCs/>
                <w:i/>
                <w:iCs/>
              </w:rPr>
              <w:t xml:space="preserve"> </w:t>
            </w:r>
            <w:r w:rsidR="009944EF">
              <w:rPr>
                <w:bCs/>
              </w:rPr>
              <w:t>and will help position MOCA in the contemporary art world.</w:t>
            </w:r>
            <w:r w:rsidR="00DE6D5D">
              <w:rPr>
                <w:bCs/>
              </w:rPr>
              <w:t xml:space="preserve"> </w:t>
            </w:r>
            <w:r w:rsidR="00603411">
              <w:rPr>
                <w:bCs/>
              </w:rPr>
              <w:t>Additionally,</w:t>
            </w:r>
            <w:r w:rsidR="00DE6D5D">
              <w:rPr>
                <w:bCs/>
              </w:rPr>
              <w:t xml:space="preserve"> Raphael </w:t>
            </w:r>
            <w:proofErr w:type="spellStart"/>
            <w:r w:rsidR="00DE6D5D">
              <w:rPr>
                <w:bCs/>
              </w:rPr>
              <w:t>Lazano</w:t>
            </w:r>
            <w:proofErr w:type="spellEnd"/>
            <w:r w:rsidR="00DE6D5D">
              <w:rPr>
                <w:bCs/>
              </w:rPr>
              <w:t xml:space="preserve"> Hammer</w:t>
            </w:r>
            <w:r w:rsidR="00A01D3C">
              <w:rPr>
                <w:bCs/>
              </w:rPr>
              <w:t xml:space="preserve">, media-based artist, will create a new piece </w:t>
            </w:r>
            <w:r w:rsidR="001F45A1">
              <w:rPr>
                <w:bCs/>
              </w:rPr>
              <w:t>of immersive tech-based</w:t>
            </w:r>
            <w:r w:rsidR="00443BEC">
              <w:rPr>
                <w:bCs/>
              </w:rPr>
              <w:t xml:space="preserve"> art to bring the Jacksonville community into the work itself, as the</w:t>
            </w:r>
            <w:r w:rsidR="00FF17E6">
              <w:rPr>
                <w:bCs/>
              </w:rPr>
              <w:t>y</w:t>
            </w:r>
            <w:r w:rsidR="00443BEC">
              <w:rPr>
                <w:bCs/>
              </w:rPr>
              <w:t xml:space="preserve"> experience</w:t>
            </w:r>
            <w:r w:rsidR="00FF17E6">
              <w:rPr>
                <w:bCs/>
              </w:rPr>
              <w:t xml:space="preserve"> the space</w:t>
            </w:r>
            <w:r w:rsidR="00443BEC">
              <w:rPr>
                <w:bCs/>
              </w:rPr>
              <w:t>.</w:t>
            </w:r>
            <w:r w:rsidR="00B67C71">
              <w:rPr>
                <w:bCs/>
              </w:rPr>
              <w:t xml:space="preserve"> Another exhibition</w:t>
            </w:r>
            <w:r w:rsidR="00E3538F">
              <w:rPr>
                <w:bCs/>
              </w:rPr>
              <w:t xml:space="preserve"> that will be presented is </w:t>
            </w:r>
            <w:r w:rsidR="00E3538F">
              <w:rPr>
                <w:bCs/>
                <w:i/>
                <w:iCs/>
              </w:rPr>
              <w:t>A Walk on the Wild Side: ‘70s New York in the Norman E. Fisher Collection</w:t>
            </w:r>
            <w:r w:rsidR="00D67BFA">
              <w:rPr>
                <w:bCs/>
                <w:i/>
                <w:iCs/>
              </w:rPr>
              <w:t xml:space="preserve">, </w:t>
            </w:r>
            <w:r w:rsidR="00D67BFA">
              <w:rPr>
                <w:bCs/>
              </w:rPr>
              <w:t>which</w:t>
            </w:r>
            <w:r w:rsidR="00603411">
              <w:rPr>
                <w:bCs/>
              </w:rPr>
              <w:t xml:space="preserve"> in the past,</w:t>
            </w:r>
            <w:r w:rsidR="00D67BFA">
              <w:rPr>
                <w:bCs/>
              </w:rPr>
              <w:t xml:space="preserve"> has not been fully researched. Over the past year, UNF </w:t>
            </w:r>
            <w:r w:rsidR="00603411">
              <w:rPr>
                <w:bCs/>
              </w:rPr>
              <w:t>students</w:t>
            </w:r>
            <w:r w:rsidR="00D67BFA">
              <w:rPr>
                <w:bCs/>
              </w:rPr>
              <w:t xml:space="preserve"> have been selected</w:t>
            </w:r>
            <w:r w:rsidR="00AB5966">
              <w:rPr>
                <w:bCs/>
              </w:rPr>
              <w:t xml:space="preserve">, in collaboration with the </w:t>
            </w:r>
            <w:proofErr w:type="gramStart"/>
            <w:r w:rsidR="00AB5966">
              <w:rPr>
                <w:bCs/>
              </w:rPr>
              <w:t>Provost’s</w:t>
            </w:r>
            <w:proofErr w:type="gramEnd"/>
            <w:r w:rsidR="00AB5966">
              <w:rPr>
                <w:bCs/>
              </w:rPr>
              <w:t xml:space="preserve"> office,</w:t>
            </w:r>
            <w:r w:rsidR="00D67BFA">
              <w:rPr>
                <w:bCs/>
              </w:rPr>
              <w:t xml:space="preserve"> </w:t>
            </w:r>
            <w:r w:rsidR="00AB5966">
              <w:rPr>
                <w:bCs/>
              </w:rPr>
              <w:t xml:space="preserve">for paid fellowships offered by </w:t>
            </w:r>
            <w:r w:rsidR="003D3ECB">
              <w:rPr>
                <w:bCs/>
              </w:rPr>
              <w:t xml:space="preserve">MOCA. This presents the opportunity </w:t>
            </w:r>
            <w:r w:rsidR="00603411">
              <w:rPr>
                <w:bCs/>
              </w:rPr>
              <w:t>for</w:t>
            </w:r>
            <w:r w:rsidR="003D3ECB">
              <w:rPr>
                <w:bCs/>
              </w:rPr>
              <w:t xml:space="preserve"> students to gain </w:t>
            </w:r>
            <w:r w:rsidR="00946423">
              <w:rPr>
                <w:bCs/>
              </w:rPr>
              <w:t xml:space="preserve">hands-on research skills. </w:t>
            </w:r>
            <w:r w:rsidR="00E715F0">
              <w:rPr>
                <w:bCs/>
              </w:rPr>
              <w:t xml:space="preserve">Next, Ms. Doherty highlighted that MOCA’s education department is working to ensure </w:t>
            </w:r>
            <w:r w:rsidR="00937884">
              <w:rPr>
                <w:bCs/>
              </w:rPr>
              <w:t xml:space="preserve">several points of access </w:t>
            </w:r>
            <w:r w:rsidR="0003664E">
              <w:rPr>
                <w:bCs/>
              </w:rPr>
              <w:t>for all audiences, including lectures, seminars, movie series,</w:t>
            </w:r>
            <w:r w:rsidR="007B61F0">
              <w:rPr>
                <w:bCs/>
              </w:rPr>
              <w:t xml:space="preserve"> family block parties, and more. </w:t>
            </w:r>
            <w:r w:rsidR="00DC1F20">
              <w:rPr>
                <w:bCs/>
              </w:rPr>
              <w:t>MOCA is underway in seeking accreditation with the American Alliance of Museums</w:t>
            </w:r>
            <w:r w:rsidR="004D2283">
              <w:rPr>
                <w:bCs/>
              </w:rPr>
              <w:t xml:space="preserve"> and has already received approval of their core documents, which will put MOCA in the elite amongst museums in the U.S. </w:t>
            </w:r>
            <w:r w:rsidR="00B22C78">
              <w:rPr>
                <w:bCs/>
              </w:rPr>
              <w:t xml:space="preserve">Ms. Doherty highlighted MOCA’s </w:t>
            </w:r>
            <w:r w:rsidR="005A5FE2">
              <w:rPr>
                <w:bCs/>
              </w:rPr>
              <w:t xml:space="preserve">history will be shared as the </w:t>
            </w:r>
            <w:r w:rsidR="00603411">
              <w:rPr>
                <w:bCs/>
              </w:rPr>
              <w:t>second-only</w:t>
            </w:r>
            <w:r w:rsidR="005A5FE2">
              <w:rPr>
                <w:bCs/>
              </w:rPr>
              <w:t xml:space="preserve"> contemporary art museum in the country.</w:t>
            </w:r>
            <w:r w:rsidR="006A4469">
              <w:rPr>
                <w:bCs/>
              </w:rPr>
              <w:t xml:space="preserve"> </w:t>
            </w:r>
            <w:r w:rsidR="005734FA">
              <w:rPr>
                <w:bCs/>
              </w:rPr>
              <w:t>With UNF’s support, MOCA has launched a website</w:t>
            </w:r>
            <w:r w:rsidR="00A8139A">
              <w:rPr>
                <w:bCs/>
              </w:rPr>
              <w:t xml:space="preserve">, which has increased visitors and access. </w:t>
            </w:r>
            <w:r w:rsidR="00B23D9C">
              <w:rPr>
                <w:bCs/>
              </w:rPr>
              <w:t xml:space="preserve">MOCA’s </w:t>
            </w:r>
            <w:r w:rsidR="009C2776">
              <w:rPr>
                <w:bCs/>
              </w:rPr>
              <w:t xml:space="preserve">visitor data reflects the most recent census data from Jacksonville, </w:t>
            </w:r>
            <w:r w:rsidR="00C36522">
              <w:rPr>
                <w:bCs/>
              </w:rPr>
              <w:t>showing the reflectiveness of the community.</w:t>
            </w:r>
            <w:r w:rsidR="009C2776">
              <w:rPr>
                <w:bCs/>
              </w:rPr>
              <w:t xml:space="preserve"> </w:t>
            </w:r>
          </w:p>
          <w:p w14:paraId="3FE32675" w14:textId="2C455817" w:rsidR="0040214C" w:rsidRPr="0040214C" w:rsidRDefault="0040214C">
            <w:pPr>
              <w:spacing w:line="240" w:lineRule="auto"/>
              <w:rPr>
                <w:bCs/>
              </w:rPr>
            </w:pPr>
          </w:p>
        </w:tc>
      </w:tr>
      <w:tr w:rsidR="00C41964" w14:paraId="6B6E7877" w14:textId="77777777" w:rsidTr="00C41964">
        <w:tc>
          <w:tcPr>
            <w:tcW w:w="1705" w:type="dxa"/>
          </w:tcPr>
          <w:p w14:paraId="2C1F6846" w14:textId="77777777" w:rsidR="00C41964" w:rsidRDefault="00C41964">
            <w:pPr>
              <w:spacing w:line="240" w:lineRule="auto"/>
              <w:rPr>
                <w:b/>
                <w:bCs/>
              </w:rPr>
            </w:pPr>
            <w:r>
              <w:rPr>
                <w:b/>
                <w:bCs/>
              </w:rPr>
              <w:lastRenderedPageBreak/>
              <w:t>Item 5</w:t>
            </w:r>
          </w:p>
          <w:p w14:paraId="4BF0171A" w14:textId="77777777" w:rsidR="00C41964" w:rsidRDefault="00C41964">
            <w:pPr>
              <w:spacing w:line="240" w:lineRule="auto"/>
              <w:rPr>
                <w:b/>
                <w:bCs/>
              </w:rPr>
            </w:pPr>
          </w:p>
        </w:tc>
        <w:tc>
          <w:tcPr>
            <w:tcW w:w="7745" w:type="dxa"/>
            <w:vAlign w:val="center"/>
          </w:tcPr>
          <w:p w14:paraId="54B319D5" w14:textId="77777777" w:rsidR="00C41964" w:rsidRDefault="00C41964">
            <w:pPr>
              <w:spacing w:line="240" w:lineRule="auto"/>
              <w:rPr>
                <w:b/>
                <w:bCs/>
              </w:rPr>
            </w:pPr>
            <w:r>
              <w:rPr>
                <w:b/>
                <w:bCs/>
              </w:rPr>
              <w:t>Review of Resolution on Presidential Authority</w:t>
            </w:r>
          </w:p>
          <w:p w14:paraId="61EF4C07" w14:textId="03C9960E" w:rsidR="00EF7478" w:rsidRDefault="005D1499">
            <w:pPr>
              <w:spacing w:line="240" w:lineRule="auto"/>
            </w:pPr>
            <w:r w:rsidRPr="00A118DC">
              <w:t>Ms. Robyn Blank, Associate Vice President and Chief Compliance and Ethics Officer</w:t>
            </w:r>
            <w:r>
              <w:t xml:space="preserve">, </w:t>
            </w:r>
            <w:r w:rsidR="00EF7478">
              <w:t xml:space="preserve">presented the </w:t>
            </w:r>
            <w:r w:rsidR="00590797">
              <w:t xml:space="preserve">revisions to </w:t>
            </w:r>
            <w:r w:rsidR="00603411">
              <w:t xml:space="preserve">the </w:t>
            </w:r>
            <w:r w:rsidR="00590797">
              <w:t>UNF resolution on presidential authority</w:t>
            </w:r>
            <w:r w:rsidR="00EF7478">
              <w:t xml:space="preserve">. </w:t>
            </w:r>
            <w:r w:rsidR="00C41964">
              <w:t xml:space="preserve">Per the 2023-2026 Board of Trustee Action Plan for Continuing Performance Improvement, the Resolution on Presidential Authority will be reviewed every other year or as needed.  </w:t>
            </w:r>
          </w:p>
          <w:p w14:paraId="46447901" w14:textId="77777777" w:rsidR="00EF7478" w:rsidRDefault="00EF7478">
            <w:pPr>
              <w:spacing w:line="240" w:lineRule="auto"/>
            </w:pPr>
          </w:p>
          <w:p w14:paraId="5A255D3F" w14:textId="69AE9CBF" w:rsidR="00EF7478" w:rsidRDefault="00EF7478">
            <w:pPr>
              <w:spacing w:line="240" w:lineRule="auto"/>
            </w:pPr>
            <w:r>
              <w:lastRenderedPageBreak/>
              <w:t>Ms. Blank</w:t>
            </w:r>
            <w:r w:rsidR="00486BA3">
              <w:t xml:space="preserve"> shared the revisions are a result of a benchmarking </w:t>
            </w:r>
            <w:r w:rsidR="00472EE5">
              <w:t>project</w:t>
            </w:r>
            <w:r w:rsidR="00486BA3">
              <w:t xml:space="preserve"> that sought to align </w:t>
            </w:r>
            <w:r w:rsidR="002526A6">
              <w:t>UNF’s resolution with all aspects of BOG regulation 1.00</w:t>
            </w:r>
            <w:r w:rsidR="00472EE5">
              <w:t>1, which was recently amended</w:t>
            </w:r>
            <w:r w:rsidR="0003024C">
              <w:t xml:space="preserve">, and identify commonalities in other Florida SUS </w:t>
            </w:r>
            <w:r w:rsidR="00C75AAC">
              <w:t>Institutions resolutions.</w:t>
            </w:r>
            <w:r w:rsidR="007C0E57">
              <w:t xml:space="preserve"> </w:t>
            </w:r>
            <w:r w:rsidR="00603411">
              <w:t>C</w:t>
            </w:r>
            <w:r w:rsidR="00621C0F">
              <w:t xml:space="preserve">lauses were updated to </w:t>
            </w:r>
            <w:r w:rsidR="00603411">
              <w:t>align</w:t>
            </w:r>
            <w:r w:rsidR="00E80B54">
              <w:t xml:space="preserve"> with the current BOG regulation and to clarify any powers that were not listed</w:t>
            </w:r>
            <w:r w:rsidR="00305809">
              <w:t xml:space="preserve"> </w:t>
            </w:r>
            <w:r w:rsidR="00603411">
              <w:t>are</w:t>
            </w:r>
            <w:r w:rsidR="00305809">
              <w:t xml:space="preserve"> intended to reside with the Board. </w:t>
            </w:r>
            <w:r w:rsidR="00671028">
              <w:t>Ms. Blank stated the removal</w:t>
            </w:r>
            <w:r w:rsidR="00B93F2E">
              <w:t xml:space="preserve"> of the corporate secretary designation </w:t>
            </w:r>
            <w:r w:rsidR="00795461">
              <w:t>for the President is consistent with changes to the BOG regulation.</w:t>
            </w:r>
            <w:r w:rsidR="00671028">
              <w:t xml:space="preserve"> Additionally, day-to-day operations authority and </w:t>
            </w:r>
            <w:r w:rsidR="000D57F2">
              <w:t xml:space="preserve">execution of documents authority was added, though probably implied. </w:t>
            </w:r>
            <w:r w:rsidR="00556257">
              <w:t xml:space="preserve">Ms. Blank noted there were three additions </w:t>
            </w:r>
            <w:r w:rsidR="00723BB8">
              <w:t>pursuant to new statutes that were passed at the most recent legislative sessions</w:t>
            </w:r>
            <w:r w:rsidR="00A62FD5">
              <w:t xml:space="preserve">: </w:t>
            </w:r>
            <w:r w:rsidR="00F728FF">
              <w:t>post-tenure review, obligation to report on the performance of executive staff</w:t>
            </w:r>
            <w:r w:rsidR="005677B7">
              <w:t>, and reporting bonuses for SUS employees</w:t>
            </w:r>
            <w:r w:rsidR="00FC7F59">
              <w:t>.</w:t>
            </w:r>
            <w:r w:rsidR="005E4AA5">
              <w:t xml:space="preserve"> A line item was added for financial controls provision, as it is present in multiple other SUS resolutions.</w:t>
            </w:r>
            <w:r w:rsidR="00D173B3">
              <w:t xml:space="preserve"> Throughout</w:t>
            </w:r>
            <w:r w:rsidR="006E2F4D">
              <w:t xml:space="preserve">, references to UNF Board, BOT, or Board of Trustees </w:t>
            </w:r>
            <w:r w:rsidR="00C74A7B">
              <w:t>were</w:t>
            </w:r>
            <w:r w:rsidR="006E2F4D">
              <w:t xml:space="preserve"> changed for consistency with other minor technical clean-ups.</w:t>
            </w:r>
          </w:p>
          <w:p w14:paraId="5A797FF5" w14:textId="77777777" w:rsidR="00590797" w:rsidRDefault="00590797">
            <w:pPr>
              <w:spacing w:line="240" w:lineRule="auto"/>
            </w:pPr>
          </w:p>
          <w:p w14:paraId="75F2F4F7" w14:textId="59023CB0" w:rsidR="00C41964" w:rsidRDefault="000763CF">
            <w:pPr>
              <w:spacing w:line="240" w:lineRule="auto"/>
              <w:rPr>
                <w:b/>
                <w:bCs/>
                <w:color w:val="4472C4" w:themeColor="accent1"/>
              </w:rPr>
            </w:pPr>
            <w:r>
              <w:t>Ms. Blank shared these changes have been reviewed by the President, the General Counsel</w:t>
            </w:r>
            <w:r w:rsidR="00DC55A3">
              <w:t>, the Vice President of Administration and Finance, and the Chair of</w:t>
            </w:r>
            <w:r w:rsidR="009A140B">
              <w:t xml:space="preserve"> the Audit and Compliance Committee. </w:t>
            </w:r>
          </w:p>
          <w:p w14:paraId="04AC99DA" w14:textId="77777777" w:rsidR="00C41964" w:rsidRDefault="00C41964">
            <w:pPr>
              <w:spacing w:line="240" w:lineRule="auto"/>
              <w:rPr>
                <w:b/>
                <w:bCs/>
                <w:color w:val="4472C4" w:themeColor="accent1"/>
              </w:rPr>
            </w:pPr>
          </w:p>
          <w:p w14:paraId="73FDF6F3" w14:textId="5C23AEF0" w:rsidR="00C41964" w:rsidRPr="0060175C" w:rsidRDefault="0060175C">
            <w:pPr>
              <w:spacing w:line="240" w:lineRule="auto"/>
              <w:rPr>
                <w:bCs/>
              </w:rPr>
            </w:pPr>
            <w:r w:rsidRPr="0060175C">
              <w:rPr>
                <w:bCs/>
              </w:rPr>
              <w:t xml:space="preserve">With no further discussion, Chair Hyde asked for a MOTION to approve the </w:t>
            </w:r>
            <w:r>
              <w:rPr>
                <w:bCs/>
              </w:rPr>
              <w:t>resolution on presidential authority</w:t>
            </w:r>
            <w:r w:rsidRPr="0060175C">
              <w:rPr>
                <w:bCs/>
              </w:rPr>
              <w:t xml:space="preserve">. Trustee </w:t>
            </w:r>
            <w:r>
              <w:rPr>
                <w:bCs/>
              </w:rPr>
              <w:t>Egan</w:t>
            </w:r>
            <w:r w:rsidRPr="0060175C">
              <w:rPr>
                <w:bCs/>
              </w:rPr>
              <w:t xml:space="preserve"> made a MOTION to APPROVE and Trustee </w:t>
            </w:r>
            <w:r w:rsidR="001C23C5">
              <w:rPr>
                <w:bCs/>
              </w:rPr>
              <w:t>McElroy</w:t>
            </w:r>
            <w:r w:rsidRPr="0060175C">
              <w:rPr>
                <w:bCs/>
              </w:rPr>
              <w:t xml:space="preserve"> SECONDED. The committee unanimously approved the motion.</w:t>
            </w:r>
          </w:p>
          <w:p w14:paraId="70F7BF30" w14:textId="77777777" w:rsidR="00C41964" w:rsidRDefault="00C41964">
            <w:pPr>
              <w:spacing w:line="240" w:lineRule="auto"/>
              <w:rPr>
                <w:b/>
                <w:bCs/>
              </w:rPr>
            </w:pPr>
          </w:p>
        </w:tc>
      </w:tr>
      <w:tr w:rsidR="00C41964" w14:paraId="5FF93765" w14:textId="77777777" w:rsidTr="00C41964">
        <w:tc>
          <w:tcPr>
            <w:tcW w:w="1705" w:type="dxa"/>
          </w:tcPr>
          <w:p w14:paraId="081059F5" w14:textId="77777777" w:rsidR="00C41964" w:rsidRDefault="00C41964">
            <w:pPr>
              <w:spacing w:line="240" w:lineRule="auto"/>
              <w:rPr>
                <w:b/>
                <w:bCs/>
              </w:rPr>
            </w:pPr>
            <w:r>
              <w:rPr>
                <w:b/>
                <w:bCs/>
              </w:rPr>
              <w:lastRenderedPageBreak/>
              <w:t>Item 6</w:t>
            </w:r>
          </w:p>
          <w:p w14:paraId="7657AEB1" w14:textId="77777777" w:rsidR="00C41964" w:rsidRDefault="00C41964">
            <w:pPr>
              <w:spacing w:line="240" w:lineRule="auto"/>
              <w:rPr>
                <w:b/>
                <w:bCs/>
              </w:rPr>
            </w:pPr>
          </w:p>
        </w:tc>
        <w:tc>
          <w:tcPr>
            <w:tcW w:w="7745" w:type="dxa"/>
            <w:vAlign w:val="center"/>
          </w:tcPr>
          <w:p w14:paraId="1CD5C054" w14:textId="77777777" w:rsidR="00C41964" w:rsidRDefault="00C41964">
            <w:pPr>
              <w:spacing w:line="240" w:lineRule="auto"/>
              <w:rPr>
                <w:b/>
                <w:bCs/>
              </w:rPr>
            </w:pPr>
            <w:r>
              <w:rPr>
                <w:b/>
                <w:bCs/>
              </w:rPr>
              <w:t>Update on Strategic Plan Implementation and Monitoring Committee by Vice President Eason</w:t>
            </w:r>
          </w:p>
          <w:p w14:paraId="50B2803E" w14:textId="51A62031" w:rsidR="00C41964" w:rsidRPr="00BE7609" w:rsidRDefault="003E16DE">
            <w:pPr>
              <w:spacing w:line="240" w:lineRule="auto"/>
            </w:pPr>
            <w:r>
              <w:t xml:space="preserve">Paul Eason, Vice President of Strategy and Innovation, </w:t>
            </w:r>
            <w:r w:rsidR="00896CC3">
              <w:t>shared</w:t>
            </w:r>
            <w:r w:rsidR="005F6825">
              <w:t xml:space="preserve"> that this committee </w:t>
            </w:r>
            <w:r w:rsidR="00896CC3">
              <w:t xml:space="preserve">plans to </w:t>
            </w:r>
            <w:r w:rsidR="005F6825">
              <w:t xml:space="preserve">meet semi-annually </w:t>
            </w:r>
            <w:r w:rsidR="00BE7609">
              <w:t>due to the lagging key performance indicators</w:t>
            </w:r>
            <w:r w:rsidR="005F6825">
              <w:t xml:space="preserve">.  </w:t>
            </w:r>
            <w:r w:rsidR="00BE7609">
              <w:t xml:space="preserve">President Limayem added that his team is finalizing a dashboard that will be available to track live progress </w:t>
            </w:r>
            <w:r w:rsidR="005F6825">
              <w:t>toward</w:t>
            </w:r>
            <w:r w:rsidR="00BE7609">
              <w:t xml:space="preserve"> the implementation of the strategic plan. </w:t>
            </w:r>
          </w:p>
          <w:p w14:paraId="6AEEA33C" w14:textId="77777777" w:rsidR="00C41964" w:rsidRDefault="00C41964">
            <w:pPr>
              <w:spacing w:line="240" w:lineRule="auto"/>
              <w:rPr>
                <w:b/>
                <w:bCs/>
              </w:rPr>
            </w:pPr>
          </w:p>
        </w:tc>
      </w:tr>
      <w:tr w:rsidR="00C41964" w14:paraId="1006B9D3" w14:textId="77777777" w:rsidTr="00C41964">
        <w:tc>
          <w:tcPr>
            <w:tcW w:w="1705" w:type="dxa"/>
          </w:tcPr>
          <w:p w14:paraId="76CF0E9B" w14:textId="77777777" w:rsidR="00C41964" w:rsidRDefault="00C41964">
            <w:pPr>
              <w:spacing w:line="240" w:lineRule="auto"/>
              <w:rPr>
                <w:b/>
                <w:bCs/>
              </w:rPr>
            </w:pPr>
            <w:bookmarkStart w:id="1" w:name="_Hlk150185266"/>
            <w:r>
              <w:rPr>
                <w:b/>
                <w:bCs/>
              </w:rPr>
              <w:t>Item 7</w:t>
            </w:r>
          </w:p>
          <w:p w14:paraId="00704640" w14:textId="77777777" w:rsidR="00C41964" w:rsidRDefault="00C41964">
            <w:pPr>
              <w:spacing w:line="240" w:lineRule="auto"/>
              <w:rPr>
                <w:b/>
                <w:bCs/>
              </w:rPr>
            </w:pPr>
          </w:p>
        </w:tc>
        <w:tc>
          <w:tcPr>
            <w:tcW w:w="7745" w:type="dxa"/>
          </w:tcPr>
          <w:p w14:paraId="6E43B520" w14:textId="77777777" w:rsidR="00C41964" w:rsidRDefault="00C41964">
            <w:pPr>
              <w:spacing w:line="240" w:lineRule="auto"/>
              <w:rPr>
                <w:b/>
                <w:bCs/>
              </w:rPr>
            </w:pPr>
            <w:r>
              <w:rPr>
                <w:b/>
                <w:bCs/>
              </w:rPr>
              <w:t>Review of Governance Committee and Board of Trustees Annual Work Plan</w:t>
            </w:r>
          </w:p>
          <w:p w14:paraId="718D5895" w14:textId="6A86D2EB" w:rsidR="0009761E" w:rsidRDefault="0009761E" w:rsidP="0009761E">
            <w:bookmarkStart w:id="2" w:name="_Hlk149833244"/>
            <w:r>
              <w:t xml:space="preserve">Karen Stone, Vice President and General Counsel, presented the </w:t>
            </w:r>
            <w:r w:rsidR="005F6825">
              <w:t>G</w:t>
            </w:r>
            <w:r>
              <w:t xml:space="preserve">overnance </w:t>
            </w:r>
            <w:r w:rsidR="005F6825">
              <w:t>Committee's</w:t>
            </w:r>
            <w:r w:rsidRPr="009C2310">
              <w:t xml:space="preserve"> </w:t>
            </w:r>
            <w:r>
              <w:t>a</w:t>
            </w:r>
            <w:r w:rsidRPr="009C2310">
              <w:t xml:space="preserve">nnual </w:t>
            </w:r>
            <w:r>
              <w:t>w</w:t>
            </w:r>
            <w:r w:rsidRPr="009C2310">
              <w:t xml:space="preserve">ork </w:t>
            </w:r>
            <w:r>
              <w:t>p</w:t>
            </w:r>
            <w:r w:rsidRPr="009C2310">
              <w:t>lan</w:t>
            </w:r>
            <w:r>
              <w:t>. VP Stone explained this will provide a holistic look at the entire year, p</w:t>
            </w:r>
            <w:r w:rsidRPr="000324D8">
              <w:t>er the 2023-2026 Board of Trustee Action Plan for Continuing Performance Improvement</w:t>
            </w:r>
            <w:r>
              <w:t xml:space="preserve">. </w:t>
            </w:r>
            <w:r w:rsidR="00C74372">
              <w:t>The annual work plan for each committee will outline anticipated action items</w:t>
            </w:r>
            <w:r w:rsidR="005F6825">
              <w:t xml:space="preserve"> and</w:t>
            </w:r>
            <w:r w:rsidR="00C74372">
              <w:t xml:space="preserve"> discussion </w:t>
            </w:r>
            <w:r w:rsidR="005F6825">
              <w:t>and</w:t>
            </w:r>
            <w:r w:rsidR="00C74372">
              <w:t xml:space="preserve"> </w:t>
            </w:r>
            <w:r w:rsidR="00C74372">
              <w:lastRenderedPageBreak/>
              <w:t xml:space="preserve">information items. It will </w:t>
            </w:r>
            <w:r w:rsidR="005F6825">
              <w:t xml:space="preserve">also </w:t>
            </w:r>
            <w:r w:rsidR="00C74372">
              <w:t xml:space="preserve">provide a general idea of the sequence of items throughout the progression of the annual cycle. </w:t>
            </w:r>
          </w:p>
          <w:p w14:paraId="5B375A37" w14:textId="2768234F" w:rsidR="0009761E" w:rsidRDefault="0009761E" w:rsidP="0009761E"/>
          <w:p w14:paraId="58B4AC6D" w14:textId="66C47E03" w:rsidR="00C74372" w:rsidRDefault="005F6825" w:rsidP="00896CC3">
            <w:r>
              <w:t xml:space="preserve">The committee had an open discussion of topics for future committee meetings.  </w:t>
            </w:r>
            <w:r w:rsidR="0009761E">
              <w:t xml:space="preserve">Chair Hyde noted the importance of Board orientation and the acclimation of new Board members. Additionally, </w:t>
            </w:r>
            <w:r>
              <w:t>he also suggested</w:t>
            </w:r>
            <w:r w:rsidR="0009761E">
              <w:t xml:space="preserve"> further discussion on Board </w:t>
            </w:r>
            <w:r w:rsidR="00C74372">
              <w:t>engage</w:t>
            </w:r>
            <w:r>
              <w:t>ment</w:t>
            </w:r>
            <w:r w:rsidR="00C74372">
              <w:t xml:space="preserve">, as well as </w:t>
            </w:r>
            <w:r>
              <w:t>incorporating</w:t>
            </w:r>
            <w:r w:rsidR="00C74372">
              <w:t xml:space="preserve"> the ideas from Association of Governing Boards (AGB).</w:t>
            </w:r>
            <w:r w:rsidR="0009761E">
              <w:t xml:space="preserve"> VP Stone </w:t>
            </w:r>
            <w:r w:rsidR="00C74372">
              <w:t xml:space="preserve">agreed with Chair Hyde </w:t>
            </w:r>
            <w:r w:rsidR="009D0920">
              <w:t xml:space="preserve">and </w:t>
            </w:r>
            <w:r w:rsidR="0009761E">
              <w:t xml:space="preserve">noted the governance committee is not generally focused on action </w:t>
            </w:r>
            <w:r w:rsidR="009D0920">
              <w:t>items;</w:t>
            </w:r>
            <w:r w:rsidR="0009761E">
              <w:t xml:space="preserve"> </w:t>
            </w:r>
            <w:r w:rsidR="009D0920">
              <w:t>thus,</w:t>
            </w:r>
            <w:r w:rsidR="0009761E">
              <w:t xml:space="preserve"> it is important to review the bylaws, committee’s charter and receive feedback from the Board.</w:t>
            </w:r>
            <w:r w:rsidR="00C74372">
              <w:t xml:space="preserve"> VP Stone shared that President Limayem has done an exceptional job scheduling one-on-one meetings with Board members to further personalized engagement.</w:t>
            </w:r>
            <w:r w:rsidR="00C6282B">
              <w:t xml:space="preserve"> </w:t>
            </w:r>
            <w:r w:rsidR="00896CC3">
              <w:t xml:space="preserve"> </w:t>
            </w:r>
            <w:r w:rsidR="004E2568">
              <w:t xml:space="preserve">Further into the future </w:t>
            </w:r>
            <w:r w:rsidR="00C74372">
              <w:t>Trustee McElroy</w:t>
            </w:r>
            <w:r w:rsidR="009D0920">
              <w:t xml:space="preserve"> </w:t>
            </w:r>
            <w:r w:rsidR="004E2568">
              <w:t xml:space="preserve">suggested having </w:t>
            </w:r>
            <w:r w:rsidR="009D0920">
              <w:t xml:space="preserve">a </w:t>
            </w:r>
            <w:r w:rsidR="00896CC3">
              <w:t>conversation</w:t>
            </w:r>
            <w:r w:rsidR="00896CC3" w:rsidRPr="00896CC3">
              <w:t xml:space="preserve"> on future-oriented planning</w:t>
            </w:r>
            <w:r w:rsidR="00896CC3">
              <w:t xml:space="preserve">: </w:t>
            </w:r>
            <w:r w:rsidR="00896CC3" w:rsidRPr="00896CC3">
              <w:t>anticipating the future landscape of higher education</w:t>
            </w:r>
            <w:r w:rsidR="00896CC3">
              <w:t xml:space="preserve"> and</w:t>
            </w:r>
            <w:r w:rsidR="00896CC3" w:rsidRPr="00896CC3">
              <w:t xml:space="preserve"> aligning with risk management strategies</w:t>
            </w:r>
            <w:r w:rsidR="004E2568">
              <w:t xml:space="preserve">.  </w:t>
            </w:r>
            <w:r w:rsidR="009D0920">
              <w:t xml:space="preserve">This will prepare UNF for what is to come and can be put together with risk management. </w:t>
            </w:r>
          </w:p>
          <w:p w14:paraId="5A0598BD" w14:textId="52BCA042" w:rsidR="00C6282B" w:rsidRDefault="00C6282B" w:rsidP="0009761E"/>
          <w:p w14:paraId="4D4A8434" w14:textId="5B48B6A0" w:rsidR="005F6825" w:rsidRDefault="00C6282B" w:rsidP="0009761E">
            <w:r>
              <w:t xml:space="preserve">VP Stone shared the UNF </w:t>
            </w:r>
            <w:r w:rsidR="00D23315">
              <w:t>full Board</w:t>
            </w:r>
            <w:r>
              <w:t xml:space="preserve"> work plan</w:t>
            </w:r>
            <w:r w:rsidR="00D23315">
              <w:t>, which provides a roadmap for the year. She noted this is more speculative, however</w:t>
            </w:r>
            <w:r w:rsidR="005F6825">
              <w:t>,</w:t>
            </w:r>
            <w:r w:rsidR="00D23315">
              <w:t xml:space="preserve"> it is beneficial to look ahead at the items. There are items that will be tentative </w:t>
            </w:r>
            <w:r w:rsidR="005F6825">
              <w:t xml:space="preserve">and </w:t>
            </w:r>
            <w:r w:rsidR="00D23315">
              <w:t xml:space="preserve">contingent on varying factors. President Limayem added that he would like to include </w:t>
            </w:r>
            <w:r w:rsidR="005F6825">
              <w:t xml:space="preserve">a </w:t>
            </w:r>
            <w:r w:rsidR="00D23315">
              <w:t xml:space="preserve">round table discussion to give the Board an opportunity to discuss </w:t>
            </w:r>
            <w:r w:rsidR="005F6825">
              <w:t xml:space="preserve">matters not </w:t>
            </w:r>
            <w:r w:rsidR="005A10EA">
              <w:t>specifically on</w:t>
            </w:r>
            <w:r w:rsidR="005F6825">
              <w:t xml:space="preserve"> the agenda but that are important to the trustees and relevant to the university’s</w:t>
            </w:r>
            <w:r w:rsidR="00D23315">
              <w:t xml:space="preserve"> mission</w:t>
            </w:r>
            <w:r w:rsidR="005F6825">
              <w:t xml:space="preserve"> and strategic priorities.</w:t>
            </w:r>
          </w:p>
          <w:p w14:paraId="3238011F" w14:textId="77777777" w:rsidR="005F6825" w:rsidRDefault="005F6825" w:rsidP="0009761E"/>
          <w:p w14:paraId="295CD2BA" w14:textId="0A94EEBB" w:rsidR="00C6282B" w:rsidRPr="009D0920" w:rsidRDefault="00E71F65" w:rsidP="0009761E">
            <w:r>
              <w:t>VP Stone asked the committee to consider their preference to have all committee meetings in one day or to continue having committee meetings on two days. Trustee McElroy shared he thinks the work plans are fantastic and will be extraordinarily helpful in planning.</w:t>
            </w:r>
          </w:p>
          <w:bookmarkEnd w:id="2"/>
          <w:p w14:paraId="5EDE44EA" w14:textId="77777777" w:rsidR="00C41964" w:rsidRDefault="00C41964">
            <w:pPr>
              <w:spacing w:line="240" w:lineRule="auto"/>
              <w:rPr>
                <w:b/>
                <w:bCs/>
              </w:rPr>
            </w:pPr>
          </w:p>
        </w:tc>
        <w:bookmarkEnd w:id="1"/>
      </w:tr>
      <w:tr w:rsidR="00C41964" w14:paraId="0E93A6EA" w14:textId="77777777" w:rsidTr="00C41964">
        <w:tc>
          <w:tcPr>
            <w:tcW w:w="1705" w:type="dxa"/>
            <w:hideMark/>
          </w:tcPr>
          <w:p w14:paraId="6D138DF2" w14:textId="77777777" w:rsidR="00C41964" w:rsidRDefault="00C41964">
            <w:pPr>
              <w:spacing w:line="240" w:lineRule="auto"/>
              <w:rPr>
                <w:b/>
                <w:bCs/>
              </w:rPr>
            </w:pPr>
            <w:r>
              <w:rPr>
                <w:b/>
                <w:bCs/>
              </w:rPr>
              <w:lastRenderedPageBreak/>
              <w:t>Item 8</w:t>
            </w:r>
          </w:p>
        </w:tc>
        <w:tc>
          <w:tcPr>
            <w:tcW w:w="7745" w:type="dxa"/>
            <w:hideMark/>
          </w:tcPr>
          <w:p w14:paraId="7BD24D0E" w14:textId="77777777" w:rsidR="00C41964" w:rsidRDefault="00C41964">
            <w:pPr>
              <w:spacing w:line="240" w:lineRule="auto"/>
              <w:rPr>
                <w:b/>
                <w:bCs/>
              </w:rPr>
            </w:pPr>
            <w:r>
              <w:rPr>
                <w:b/>
                <w:bCs/>
              </w:rPr>
              <w:t>Adjournment</w:t>
            </w:r>
          </w:p>
          <w:p w14:paraId="223962E5" w14:textId="624856B0" w:rsidR="00C30E7D" w:rsidRPr="00C30E7D" w:rsidRDefault="00C30E7D">
            <w:pPr>
              <w:spacing w:line="240" w:lineRule="auto"/>
            </w:pPr>
            <w:r>
              <w:t xml:space="preserve">With no further business to discuss, Chair Hyde adjourned the meeting at </w:t>
            </w:r>
            <w:r w:rsidR="00E71F65">
              <w:t>2:49</w:t>
            </w:r>
            <w:r>
              <w:t xml:space="preserve"> p.m.</w:t>
            </w:r>
          </w:p>
        </w:tc>
      </w:tr>
    </w:tbl>
    <w:p w14:paraId="43134445" w14:textId="77777777" w:rsidR="00031B4D" w:rsidRPr="00C41964" w:rsidRDefault="00031B4D" w:rsidP="00C41964"/>
    <w:sectPr w:rsidR="00031B4D" w:rsidRPr="00C41964" w:rsidSect="00C41964">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9C08" w14:textId="77777777" w:rsidR="00C41964" w:rsidRDefault="00C41964" w:rsidP="00C41964">
      <w:pPr>
        <w:spacing w:line="240" w:lineRule="auto"/>
      </w:pPr>
      <w:r>
        <w:separator/>
      </w:r>
    </w:p>
  </w:endnote>
  <w:endnote w:type="continuationSeparator" w:id="0">
    <w:p w14:paraId="5164BB0E" w14:textId="77777777" w:rsidR="00C41964" w:rsidRDefault="00C41964" w:rsidP="00C419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BD18" w14:textId="77777777" w:rsidR="009829B4" w:rsidRDefault="00982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B9BA" w14:textId="77777777" w:rsidR="009829B4" w:rsidRDefault="00982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6121" w14:textId="77777777" w:rsidR="009829B4" w:rsidRDefault="00982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0ED1" w14:textId="77777777" w:rsidR="00C41964" w:rsidRDefault="00C41964" w:rsidP="00C41964">
      <w:pPr>
        <w:spacing w:line="240" w:lineRule="auto"/>
      </w:pPr>
      <w:r>
        <w:separator/>
      </w:r>
    </w:p>
  </w:footnote>
  <w:footnote w:type="continuationSeparator" w:id="0">
    <w:p w14:paraId="4909AFD2" w14:textId="77777777" w:rsidR="00C41964" w:rsidRDefault="00C41964" w:rsidP="00C419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205" w14:textId="77777777" w:rsidR="009829B4" w:rsidRDefault="00982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1A4D" w14:textId="5B065FF1" w:rsidR="00C41964" w:rsidRPr="004A107B" w:rsidRDefault="002F4085" w:rsidP="00C41964">
    <w:pPr>
      <w:pStyle w:val="Header"/>
      <w:spacing w:before="240" w:line="360" w:lineRule="auto"/>
      <w:jc w:val="center"/>
    </w:pPr>
    <w:sdt>
      <w:sdtPr>
        <w:rPr>
          <w:noProof/>
        </w:rPr>
        <w:id w:val="1026990022"/>
        <w:docPartObj>
          <w:docPartGallery w:val="Watermarks"/>
          <w:docPartUnique/>
        </w:docPartObj>
      </w:sdtPr>
      <w:sdtEndPr/>
      <w:sdtContent>
        <w:r>
          <w:rPr>
            <w:noProof/>
          </w:rPr>
          <w:pict w14:anchorId="070EE8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1964">
      <w:rPr>
        <w:noProof/>
      </w:rPr>
      <w:drawing>
        <wp:inline distT="0" distB="0" distL="0" distR="0" wp14:anchorId="1293EBA2" wp14:editId="4FC36025">
          <wp:extent cx="1809750" cy="707659"/>
          <wp:effectExtent l="0" t="0" r="0" b="0"/>
          <wp:docPr id="1" name="Picture 1" descr="UNF blue and grey logo with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F blue and grey logo with University of North Florida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387" cy="720030"/>
                  </a:xfrm>
                  <a:prstGeom prst="rect">
                    <a:avLst/>
                  </a:prstGeom>
                  <a:noFill/>
                  <a:ln>
                    <a:noFill/>
                  </a:ln>
                </pic:spPr>
              </pic:pic>
            </a:graphicData>
          </a:graphic>
        </wp:inline>
      </w:drawing>
    </w:r>
    <w:r w:rsidR="00C41964" w:rsidRPr="00BC7108">
      <w:rPr>
        <w:noProof/>
      </w:rPr>
      <w:t xml:space="preserve"> </w:t>
    </w:r>
  </w:p>
  <w:p w14:paraId="424DDF8D" w14:textId="33296C8E" w:rsidR="00C41964" w:rsidRPr="004A107B" w:rsidRDefault="00C41964" w:rsidP="00C41964">
    <w:pPr>
      <w:keepNext/>
      <w:keepLines/>
      <w:spacing w:line="360" w:lineRule="auto"/>
      <w:jc w:val="center"/>
      <w:outlineLvl w:val="3"/>
      <w:rPr>
        <w:rFonts w:eastAsiaTheme="majorEastAsia" w:cstheme="majorBidi"/>
        <w:b/>
        <w:iCs/>
      </w:rPr>
    </w:pPr>
    <w:r>
      <w:rPr>
        <w:rFonts w:eastAsiaTheme="majorEastAsia" w:cstheme="majorBidi"/>
        <w:b/>
        <w:iCs/>
      </w:rPr>
      <w:t>Governance Committee</w:t>
    </w:r>
  </w:p>
  <w:p w14:paraId="40860D6C" w14:textId="77777777" w:rsidR="00C41964" w:rsidRPr="004A107B" w:rsidRDefault="00C41964" w:rsidP="00C41964">
    <w:pPr>
      <w:keepNext/>
      <w:keepLines/>
      <w:spacing w:line="360" w:lineRule="auto"/>
      <w:jc w:val="center"/>
      <w:outlineLvl w:val="3"/>
      <w:rPr>
        <w:rFonts w:eastAsiaTheme="majorEastAsia" w:cstheme="majorBidi"/>
        <w:b/>
        <w:iCs/>
      </w:rPr>
    </w:pPr>
    <w:r>
      <w:rPr>
        <w:rFonts w:eastAsiaTheme="majorEastAsia" w:cstheme="majorBidi"/>
        <w:b/>
        <w:iCs/>
      </w:rPr>
      <w:t>November 16, 2023</w:t>
    </w:r>
  </w:p>
  <w:p w14:paraId="71BDC2F8" w14:textId="489D5043" w:rsidR="00C41964" w:rsidRDefault="00C41964" w:rsidP="00C41964">
    <w:pPr>
      <w:keepNext/>
      <w:keepLines/>
      <w:spacing w:line="360" w:lineRule="auto"/>
      <w:jc w:val="center"/>
      <w:outlineLvl w:val="3"/>
      <w:rPr>
        <w:rFonts w:eastAsiaTheme="majorEastAsia" w:cstheme="majorBidi"/>
        <w:b/>
        <w:iCs/>
      </w:rPr>
    </w:pPr>
    <w:r>
      <w:rPr>
        <w:rFonts w:eastAsiaTheme="majorEastAsia" w:cstheme="majorBidi"/>
        <w:b/>
        <w:iCs/>
      </w:rPr>
      <w:t>2:15 p.m.* – 3:00 p.m.</w:t>
    </w:r>
  </w:p>
  <w:p w14:paraId="71655DF3" w14:textId="58D225EB" w:rsidR="00C41964" w:rsidRPr="00C41964" w:rsidRDefault="00C41964" w:rsidP="00C41964">
    <w:pPr>
      <w:pStyle w:val="Header"/>
      <w:jc w:val="center"/>
      <w:rPr>
        <w:i/>
        <w:iCs/>
      </w:rPr>
    </w:pPr>
    <w:r>
      <w:rPr>
        <w:i/>
        <w:iCs/>
      </w:rPr>
      <w:t>*</w:t>
    </w:r>
    <w:proofErr w:type="gramStart"/>
    <w:r>
      <w:rPr>
        <w:i/>
        <w:iCs/>
      </w:rPr>
      <w:t>or</w:t>
    </w:r>
    <w:proofErr w:type="gramEnd"/>
    <w:r>
      <w:rPr>
        <w:i/>
        <w:iCs/>
      </w:rPr>
      <w:t xml:space="preserve"> upon the conclusion of previous committee meeting</w:t>
    </w:r>
  </w:p>
  <w:p w14:paraId="3E5E1D95" w14:textId="53B0519B" w:rsidR="00C41964" w:rsidRPr="00C41964" w:rsidRDefault="00C41964" w:rsidP="00C41964">
    <w:pPr>
      <w:spacing w:before="120" w:line="360" w:lineRule="auto"/>
      <w:jc w:val="center"/>
      <w:rPr>
        <w:rFonts w:eastAsia="Times New Roman" w:cs="Times New Roman"/>
        <w:bCs/>
        <w:i/>
        <w:iCs/>
      </w:rPr>
    </w:pPr>
    <w:r w:rsidRPr="00B14C33">
      <w:rPr>
        <w:rFonts w:eastAsia="Times New Roman" w:cs="Times New Roman"/>
        <w:bCs/>
        <w:i/>
        <w:iCs/>
      </w:rPr>
      <w:t>virtual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A054" w14:textId="77777777" w:rsidR="009829B4" w:rsidRDefault="009829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64"/>
    <w:rsid w:val="0000109E"/>
    <w:rsid w:val="0001113F"/>
    <w:rsid w:val="0003024C"/>
    <w:rsid w:val="00031B4D"/>
    <w:rsid w:val="0003664E"/>
    <w:rsid w:val="000763CF"/>
    <w:rsid w:val="0009761E"/>
    <w:rsid w:val="000D57F2"/>
    <w:rsid w:val="001503CD"/>
    <w:rsid w:val="00156EF3"/>
    <w:rsid w:val="001C23C5"/>
    <w:rsid w:val="001F45A1"/>
    <w:rsid w:val="002526A6"/>
    <w:rsid w:val="002F4085"/>
    <w:rsid w:val="00305809"/>
    <w:rsid w:val="00334EEB"/>
    <w:rsid w:val="003869AC"/>
    <w:rsid w:val="003927C6"/>
    <w:rsid w:val="003C439F"/>
    <w:rsid w:val="003D3ECB"/>
    <w:rsid w:val="003E16DE"/>
    <w:rsid w:val="0040214C"/>
    <w:rsid w:val="00431657"/>
    <w:rsid w:val="00443BEC"/>
    <w:rsid w:val="00472EE5"/>
    <w:rsid w:val="00486BA3"/>
    <w:rsid w:val="00495765"/>
    <w:rsid w:val="004A4B25"/>
    <w:rsid w:val="004D2283"/>
    <w:rsid w:val="004E2568"/>
    <w:rsid w:val="00517303"/>
    <w:rsid w:val="005237CB"/>
    <w:rsid w:val="0054716C"/>
    <w:rsid w:val="00556257"/>
    <w:rsid w:val="005677B7"/>
    <w:rsid w:val="0057158B"/>
    <w:rsid w:val="005734FA"/>
    <w:rsid w:val="00590797"/>
    <w:rsid w:val="005A10EA"/>
    <w:rsid w:val="005A5FE2"/>
    <w:rsid w:val="005D099B"/>
    <w:rsid w:val="005D1499"/>
    <w:rsid w:val="005E4AA5"/>
    <w:rsid w:val="005F6825"/>
    <w:rsid w:val="0060175C"/>
    <w:rsid w:val="00603411"/>
    <w:rsid w:val="00621C0F"/>
    <w:rsid w:val="00671028"/>
    <w:rsid w:val="006A4469"/>
    <w:rsid w:val="006E2F4D"/>
    <w:rsid w:val="00701731"/>
    <w:rsid w:val="00723BB8"/>
    <w:rsid w:val="00730397"/>
    <w:rsid w:val="00740B72"/>
    <w:rsid w:val="00744110"/>
    <w:rsid w:val="00795461"/>
    <w:rsid w:val="007B61F0"/>
    <w:rsid w:val="007C0E57"/>
    <w:rsid w:val="007D4912"/>
    <w:rsid w:val="00860D28"/>
    <w:rsid w:val="008807C9"/>
    <w:rsid w:val="00896CC3"/>
    <w:rsid w:val="008E5AD3"/>
    <w:rsid w:val="00922DE3"/>
    <w:rsid w:val="00937884"/>
    <w:rsid w:val="00946423"/>
    <w:rsid w:val="00951C8B"/>
    <w:rsid w:val="00977AA1"/>
    <w:rsid w:val="009829B4"/>
    <w:rsid w:val="009944EF"/>
    <w:rsid w:val="009A140B"/>
    <w:rsid w:val="009C2776"/>
    <w:rsid w:val="009D0920"/>
    <w:rsid w:val="00A01D3C"/>
    <w:rsid w:val="00A62379"/>
    <w:rsid w:val="00A62FD5"/>
    <w:rsid w:val="00A73E10"/>
    <w:rsid w:val="00A8139A"/>
    <w:rsid w:val="00A95FBA"/>
    <w:rsid w:val="00AB5966"/>
    <w:rsid w:val="00AF5933"/>
    <w:rsid w:val="00B22C78"/>
    <w:rsid w:val="00B23D9C"/>
    <w:rsid w:val="00B67C71"/>
    <w:rsid w:val="00B93F2E"/>
    <w:rsid w:val="00BB11DD"/>
    <w:rsid w:val="00BB6ED1"/>
    <w:rsid w:val="00BE7609"/>
    <w:rsid w:val="00C30E7D"/>
    <w:rsid w:val="00C36522"/>
    <w:rsid w:val="00C41964"/>
    <w:rsid w:val="00C441EC"/>
    <w:rsid w:val="00C47ED0"/>
    <w:rsid w:val="00C6282B"/>
    <w:rsid w:val="00C74372"/>
    <w:rsid w:val="00C74A7B"/>
    <w:rsid w:val="00C75AAC"/>
    <w:rsid w:val="00C802FC"/>
    <w:rsid w:val="00CC3DFB"/>
    <w:rsid w:val="00D173B3"/>
    <w:rsid w:val="00D23315"/>
    <w:rsid w:val="00D31D00"/>
    <w:rsid w:val="00D37839"/>
    <w:rsid w:val="00D67BFA"/>
    <w:rsid w:val="00DA26EE"/>
    <w:rsid w:val="00DC1F20"/>
    <w:rsid w:val="00DC3CCC"/>
    <w:rsid w:val="00DC55A3"/>
    <w:rsid w:val="00DE1C49"/>
    <w:rsid w:val="00DE6D5D"/>
    <w:rsid w:val="00E3538F"/>
    <w:rsid w:val="00E5512F"/>
    <w:rsid w:val="00E704C9"/>
    <w:rsid w:val="00E715F0"/>
    <w:rsid w:val="00E71F65"/>
    <w:rsid w:val="00E73F0D"/>
    <w:rsid w:val="00E767AC"/>
    <w:rsid w:val="00E80B54"/>
    <w:rsid w:val="00E85D65"/>
    <w:rsid w:val="00ED1195"/>
    <w:rsid w:val="00EF7478"/>
    <w:rsid w:val="00F216F3"/>
    <w:rsid w:val="00F728FF"/>
    <w:rsid w:val="00FC7F59"/>
    <w:rsid w:val="00FF1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2CB6D10"/>
  <w15:chartTrackingRefBased/>
  <w15:docId w15:val="{B12508A2-AA36-4918-95DB-E8574310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964"/>
    <w:pPr>
      <w:spacing w:after="0" w:line="256" w:lineRule="auto"/>
    </w:pPr>
    <w:rPr>
      <w:rFonts w:ascii="Book Antiqua" w:hAnsi="Book Antiqua"/>
    </w:rPr>
  </w:style>
  <w:style w:type="paragraph" w:styleId="Heading1">
    <w:name w:val="heading 1"/>
    <w:basedOn w:val="Normal"/>
    <w:next w:val="Normal"/>
    <w:link w:val="Heading1Char"/>
    <w:uiPriority w:val="9"/>
    <w:qFormat/>
    <w:rsid w:val="00C41964"/>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C41964"/>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964"/>
    <w:rPr>
      <w:rFonts w:ascii="Book Antiqua" w:eastAsiaTheme="majorEastAsia" w:hAnsi="Book Antiqua" w:cstheme="majorBidi"/>
      <w:b/>
      <w:sz w:val="24"/>
      <w:szCs w:val="32"/>
    </w:rPr>
  </w:style>
  <w:style w:type="character" w:customStyle="1" w:styleId="Heading2Char">
    <w:name w:val="Heading 2 Char"/>
    <w:basedOn w:val="DefaultParagraphFont"/>
    <w:link w:val="Heading2"/>
    <w:uiPriority w:val="9"/>
    <w:semiHidden/>
    <w:rsid w:val="00C41964"/>
    <w:rPr>
      <w:rFonts w:ascii="Book Antiqua" w:eastAsiaTheme="majorEastAsia" w:hAnsi="Book Antiqua" w:cstheme="majorBidi"/>
      <w:b/>
      <w:sz w:val="24"/>
      <w:szCs w:val="26"/>
    </w:rPr>
  </w:style>
  <w:style w:type="table" w:styleId="TableGrid">
    <w:name w:val="Table Grid"/>
    <w:basedOn w:val="TableNormal"/>
    <w:uiPriority w:val="39"/>
    <w:rsid w:val="00C419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964"/>
    <w:pPr>
      <w:tabs>
        <w:tab w:val="center" w:pos="4680"/>
        <w:tab w:val="right" w:pos="9360"/>
      </w:tabs>
      <w:spacing w:line="240" w:lineRule="auto"/>
    </w:pPr>
  </w:style>
  <w:style w:type="character" w:customStyle="1" w:styleId="HeaderChar">
    <w:name w:val="Header Char"/>
    <w:basedOn w:val="DefaultParagraphFont"/>
    <w:link w:val="Header"/>
    <w:uiPriority w:val="99"/>
    <w:rsid w:val="00C41964"/>
    <w:rPr>
      <w:rFonts w:ascii="Book Antiqua" w:hAnsi="Book Antiqua"/>
    </w:rPr>
  </w:style>
  <w:style w:type="paragraph" w:styleId="Footer">
    <w:name w:val="footer"/>
    <w:basedOn w:val="Normal"/>
    <w:link w:val="FooterChar"/>
    <w:uiPriority w:val="99"/>
    <w:unhideWhenUsed/>
    <w:rsid w:val="00C41964"/>
    <w:pPr>
      <w:tabs>
        <w:tab w:val="center" w:pos="4680"/>
        <w:tab w:val="right" w:pos="9360"/>
      </w:tabs>
      <w:spacing w:line="240" w:lineRule="auto"/>
    </w:pPr>
  </w:style>
  <w:style w:type="character" w:customStyle="1" w:styleId="FooterChar">
    <w:name w:val="Footer Char"/>
    <w:basedOn w:val="DefaultParagraphFont"/>
    <w:link w:val="Footer"/>
    <w:uiPriority w:val="99"/>
    <w:rsid w:val="00C41964"/>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26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1374</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dc:description/>
  <cp:lastModifiedBy>Knopp, Raygan</cp:lastModifiedBy>
  <cp:revision>16</cp:revision>
  <dcterms:created xsi:type="dcterms:W3CDTF">2023-11-28T17:56:00Z</dcterms:created>
  <dcterms:modified xsi:type="dcterms:W3CDTF">2023-11-30T19:47:00Z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c8836d9615d7f6d925597c848ce1e7e5d8449bda53e3c79ac1fca27bf451f894</vt:lpwstr>
  </property>
</Properties>
</file>