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4489" w14:textId="2D88FE77" w:rsidR="00BC454D" w:rsidRDefault="002F1B65" w:rsidP="00BC454D">
      <w:pPr>
        <w:pStyle w:val="Heading1"/>
        <w:jc w:val="center"/>
      </w:pPr>
      <w:r>
        <w:t xml:space="preserve"> </w:t>
      </w:r>
      <w:r w:rsidR="00304A55">
        <w:t>MINUTES</w:t>
      </w:r>
    </w:p>
    <w:p w14:paraId="1FE41D54" w14:textId="77777777" w:rsidR="00BC454D" w:rsidRDefault="00BC454D"/>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0"/>
      </w:tblGrid>
      <w:tr w:rsidR="00E67A02" w14:paraId="0DC2DD19" w14:textId="77777777" w:rsidTr="006A0B1B">
        <w:tc>
          <w:tcPr>
            <w:tcW w:w="2160" w:type="dxa"/>
          </w:tcPr>
          <w:p w14:paraId="79480303" w14:textId="6EFDC3FF" w:rsidR="009D6F61" w:rsidRPr="009D6F61" w:rsidRDefault="00E67A02" w:rsidP="009D6F61">
            <w:pPr>
              <w:rPr>
                <w:b/>
                <w:bCs/>
              </w:rPr>
            </w:pPr>
            <w:r>
              <w:rPr>
                <w:b/>
                <w:bCs/>
              </w:rPr>
              <w:t>Members</w:t>
            </w:r>
            <w:r w:rsidR="006A0B1B">
              <w:rPr>
                <w:b/>
                <w:bCs/>
              </w:rPr>
              <w:t xml:space="preserve"> </w:t>
            </w:r>
            <w:r>
              <w:rPr>
                <w:b/>
                <w:bCs/>
              </w:rPr>
              <w:t>Present:</w:t>
            </w:r>
          </w:p>
        </w:tc>
        <w:tc>
          <w:tcPr>
            <w:tcW w:w="7650" w:type="dxa"/>
          </w:tcPr>
          <w:p w14:paraId="5AA88353" w14:textId="6FC418C6" w:rsidR="00E67A02" w:rsidRPr="00E632C8" w:rsidRDefault="00E632C8" w:rsidP="009D6F61">
            <w:r>
              <w:t xml:space="preserve">John Gol (Chair), Jason Barrett, Mike Binder, John Grosso, Kevin Hyde (ex-officio), Paul McElroy, Steve Moore, Nik Patel </w:t>
            </w:r>
            <w:r>
              <w:br/>
            </w:r>
          </w:p>
        </w:tc>
      </w:tr>
      <w:tr w:rsidR="009D6F61" w14:paraId="7F8CEC51" w14:textId="77777777" w:rsidTr="006A0B1B">
        <w:tc>
          <w:tcPr>
            <w:tcW w:w="2160" w:type="dxa"/>
          </w:tcPr>
          <w:p w14:paraId="6715E0EE" w14:textId="77777777" w:rsidR="009D6F61" w:rsidRDefault="009D6F61">
            <w:pPr>
              <w:rPr>
                <w:b/>
                <w:bCs/>
              </w:rPr>
            </w:pPr>
            <w:r>
              <w:rPr>
                <w:b/>
                <w:bCs/>
              </w:rPr>
              <w:t>Members Absent:</w:t>
            </w:r>
          </w:p>
          <w:p w14:paraId="240BA107" w14:textId="69BBDCE3" w:rsidR="009D6F61" w:rsidRDefault="009D6F61">
            <w:pPr>
              <w:rPr>
                <w:b/>
                <w:bCs/>
              </w:rPr>
            </w:pPr>
          </w:p>
        </w:tc>
        <w:tc>
          <w:tcPr>
            <w:tcW w:w="7650" w:type="dxa"/>
          </w:tcPr>
          <w:p w14:paraId="6D2D57C4" w14:textId="69011628" w:rsidR="009D6F61" w:rsidRDefault="009D6F61">
            <w:r>
              <w:t>Chris Lazzara</w:t>
            </w:r>
          </w:p>
        </w:tc>
      </w:tr>
      <w:tr w:rsidR="00BC454D" w14:paraId="508F71CA" w14:textId="77777777" w:rsidTr="006A0B1B">
        <w:tc>
          <w:tcPr>
            <w:tcW w:w="2160" w:type="dxa"/>
          </w:tcPr>
          <w:p w14:paraId="0D45E607" w14:textId="77777777" w:rsidR="00BC454D" w:rsidRPr="00C542BC" w:rsidRDefault="00BC454D">
            <w:pPr>
              <w:rPr>
                <w:b/>
                <w:bCs/>
              </w:rPr>
            </w:pPr>
            <w:r w:rsidRPr="00C542BC">
              <w:rPr>
                <w:b/>
                <w:bCs/>
              </w:rPr>
              <w:t>Item 1</w:t>
            </w:r>
          </w:p>
        </w:tc>
        <w:tc>
          <w:tcPr>
            <w:tcW w:w="7650" w:type="dxa"/>
          </w:tcPr>
          <w:p w14:paraId="4D964B19" w14:textId="77777777" w:rsidR="00BC454D" w:rsidRPr="00C542BC" w:rsidRDefault="00BC454D">
            <w:pPr>
              <w:rPr>
                <w:b/>
                <w:bCs/>
              </w:rPr>
            </w:pPr>
            <w:r w:rsidRPr="00C542BC">
              <w:rPr>
                <w:b/>
                <w:bCs/>
              </w:rPr>
              <w:t>Call to Order</w:t>
            </w:r>
          </w:p>
          <w:p w14:paraId="19CBCC89" w14:textId="616A1B58" w:rsidR="00BC454D" w:rsidRPr="00C542BC" w:rsidRDefault="00BC454D">
            <w:r w:rsidRPr="00C542BC">
              <w:t xml:space="preserve">Chair </w:t>
            </w:r>
            <w:r w:rsidR="005662AB" w:rsidRPr="00C542BC">
              <w:t xml:space="preserve">Gol </w:t>
            </w:r>
            <w:r w:rsidR="001721D0">
              <w:t>recognized a quorum and called the meeting to order</w:t>
            </w:r>
            <w:r w:rsidRPr="00C542BC">
              <w:t>.</w:t>
            </w:r>
          </w:p>
          <w:p w14:paraId="3A725E10" w14:textId="77777777" w:rsidR="00BC454D" w:rsidRPr="00C542BC" w:rsidRDefault="00BC454D"/>
        </w:tc>
      </w:tr>
      <w:tr w:rsidR="00BC454D" w14:paraId="0FFC0B75" w14:textId="77777777" w:rsidTr="006A0B1B">
        <w:tc>
          <w:tcPr>
            <w:tcW w:w="2160" w:type="dxa"/>
          </w:tcPr>
          <w:p w14:paraId="2A0D3464" w14:textId="77777777" w:rsidR="00BC454D" w:rsidRPr="00C542BC" w:rsidRDefault="0071787D">
            <w:pPr>
              <w:rPr>
                <w:b/>
                <w:bCs/>
              </w:rPr>
            </w:pPr>
            <w:r w:rsidRPr="00C542BC">
              <w:rPr>
                <w:b/>
                <w:bCs/>
              </w:rPr>
              <w:t>Item 2</w:t>
            </w:r>
          </w:p>
        </w:tc>
        <w:tc>
          <w:tcPr>
            <w:tcW w:w="7650" w:type="dxa"/>
          </w:tcPr>
          <w:p w14:paraId="579FAA48" w14:textId="77777777" w:rsidR="0071787D" w:rsidRPr="00C542BC" w:rsidRDefault="0071787D" w:rsidP="0071787D">
            <w:pPr>
              <w:pStyle w:val="Heading2"/>
              <w:ind w:left="1440" w:hanging="1440"/>
              <w:rPr>
                <w:sz w:val="22"/>
                <w:szCs w:val="22"/>
              </w:rPr>
            </w:pPr>
            <w:r w:rsidRPr="00C542BC">
              <w:rPr>
                <w:sz w:val="22"/>
                <w:szCs w:val="22"/>
              </w:rPr>
              <w:t xml:space="preserve">Public Comment </w:t>
            </w:r>
          </w:p>
          <w:p w14:paraId="235470B6" w14:textId="52800BFF" w:rsidR="0071787D" w:rsidRPr="00C542BC" w:rsidRDefault="0071787D" w:rsidP="0071787D">
            <w:r w:rsidRPr="00C542BC">
              <w:t xml:space="preserve">Chair </w:t>
            </w:r>
            <w:r w:rsidR="005662AB" w:rsidRPr="00C542BC">
              <w:t>Gol</w:t>
            </w:r>
            <w:r w:rsidRPr="00C542BC">
              <w:t xml:space="preserve"> </w:t>
            </w:r>
            <w:r w:rsidR="001721D0">
              <w:t xml:space="preserve">confirmed there were no requests for public comments. </w:t>
            </w:r>
          </w:p>
          <w:p w14:paraId="7974C6D0" w14:textId="77777777" w:rsidR="00BC454D" w:rsidRPr="00C542BC" w:rsidRDefault="00BC454D"/>
        </w:tc>
      </w:tr>
      <w:tr w:rsidR="00BC454D" w14:paraId="3ADFC22C" w14:textId="77777777" w:rsidTr="006A0B1B">
        <w:tc>
          <w:tcPr>
            <w:tcW w:w="2160" w:type="dxa"/>
          </w:tcPr>
          <w:p w14:paraId="53503E93" w14:textId="77777777" w:rsidR="00BC454D" w:rsidRPr="00C542BC" w:rsidRDefault="0071787D" w:rsidP="0071787D">
            <w:pPr>
              <w:rPr>
                <w:b/>
                <w:bCs/>
              </w:rPr>
            </w:pPr>
            <w:r w:rsidRPr="00C542BC">
              <w:rPr>
                <w:b/>
                <w:bCs/>
              </w:rPr>
              <w:t>Item 3</w:t>
            </w:r>
          </w:p>
        </w:tc>
        <w:tc>
          <w:tcPr>
            <w:tcW w:w="7650" w:type="dxa"/>
          </w:tcPr>
          <w:p w14:paraId="487D7AA6" w14:textId="77777777" w:rsidR="0071787D" w:rsidRPr="00C542BC" w:rsidRDefault="0071787D" w:rsidP="0071787D">
            <w:pPr>
              <w:rPr>
                <w:b/>
                <w:bCs/>
              </w:rPr>
            </w:pPr>
            <w:r w:rsidRPr="00C542BC">
              <w:rPr>
                <w:b/>
                <w:bCs/>
              </w:rPr>
              <w:t>Consent Agenda</w:t>
            </w:r>
          </w:p>
          <w:p w14:paraId="10D705B4" w14:textId="002F76C3" w:rsidR="0071787D" w:rsidRDefault="001721D0" w:rsidP="0071787D">
            <w:r>
              <w:t xml:space="preserve">Chair Gol requested a motion to approve the items on the consent agenda. There was one item: </w:t>
            </w:r>
            <w:r w:rsidR="00466089">
              <w:t>the d</w:t>
            </w:r>
            <w:r w:rsidR="0071787D" w:rsidRPr="00C542BC">
              <w:t xml:space="preserve">raft </w:t>
            </w:r>
            <w:r w:rsidR="005662AB" w:rsidRPr="00C542BC">
              <w:t>September 11, 2023</w:t>
            </w:r>
            <w:r w:rsidR="0071787D" w:rsidRPr="00C542BC">
              <w:t xml:space="preserve">, </w:t>
            </w:r>
            <w:r w:rsidR="005662AB" w:rsidRPr="00C542BC">
              <w:t>Finance and Facilities</w:t>
            </w:r>
            <w:r w:rsidR="0071787D" w:rsidRPr="00C542BC">
              <w:t xml:space="preserve"> Committee Meeting Minutes</w:t>
            </w:r>
            <w:r w:rsidR="00466089">
              <w:t>.</w:t>
            </w:r>
          </w:p>
          <w:p w14:paraId="6A58E722" w14:textId="77777777" w:rsidR="00466089" w:rsidRDefault="00466089" w:rsidP="0071787D"/>
          <w:p w14:paraId="19CB8536" w14:textId="3EA6AE43" w:rsidR="00466089" w:rsidRPr="00C542BC" w:rsidRDefault="00466089" w:rsidP="0071787D">
            <w:r>
              <w:t xml:space="preserve">BOT Chair Hyde made a MOTION to APPROVE the consent agenda as presented. Trustee McElroy SECONDED the motion, and the committee unanimously APPROVED. </w:t>
            </w:r>
          </w:p>
          <w:p w14:paraId="4EB96EE2" w14:textId="77777777" w:rsidR="00BC454D" w:rsidRPr="00C542BC" w:rsidRDefault="00BC454D" w:rsidP="00466089"/>
        </w:tc>
      </w:tr>
      <w:tr w:rsidR="00CD27B4" w14:paraId="7C306D3A" w14:textId="77777777" w:rsidTr="006A0B1B">
        <w:tc>
          <w:tcPr>
            <w:tcW w:w="2160" w:type="dxa"/>
          </w:tcPr>
          <w:p w14:paraId="3528E54E" w14:textId="77777777" w:rsidR="00CD27B4" w:rsidRPr="00C542BC" w:rsidRDefault="00CD27B4" w:rsidP="00CD27B4">
            <w:pPr>
              <w:rPr>
                <w:b/>
                <w:bCs/>
              </w:rPr>
            </w:pPr>
            <w:r w:rsidRPr="00C542BC">
              <w:rPr>
                <w:b/>
                <w:bCs/>
              </w:rPr>
              <w:t>Item 4</w:t>
            </w:r>
          </w:p>
          <w:p w14:paraId="7CF1BA92" w14:textId="77777777" w:rsidR="00CD27B4" w:rsidRPr="00C542BC" w:rsidRDefault="00CD27B4" w:rsidP="00CD27B4">
            <w:pPr>
              <w:rPr>
                <w:b/>
                <w:bCs/>
              </w:rPr>
            </w:pPr>
          </w:p>
        </w:tc>
        <w:tc>
          <w:tcPr>
            <w:tcW w:w="7650" w:type="dxa"/>
            <w:vAlign w:val="center"/>
          </w:tcPr>
          <w:p w14:paraId="783B8006" w14:textId="77777777" w:rsidR="007319EE" w:rsidRPr="00C542BC" w:rsidRDefault="007319EE" w:rsidP="007319EE">
            <w:pPr>
              <w:pStyle w:val="Heading2"/>
              <w:rPr>
                <w:sz w:val="22"/>
                <w:szCs w:val="22"/>
              </w:rPr>
            </w:pPr>
            <w:r w:rsidRPr="00C542BC">
              <w:rPr>
                <w:sz w:val="22"/>
                <w:szCs w:val="22"/>
              </w:rPr>
              <w:t>Annual Review of Bonuses for Fiscal Year 2023</w:t>
            </w:r>
          </w:p>
          <w:p w14:paraId="0BCB2A0B" w14:textId="05B2F487" w:rsidR="00635770" w:rsidRDefault="002407E8" w:rsidP="007319EE">
            <w:r>
              <w:t xml:space="preserve">Vice President Bennett presented the annual bonuses paid in </w:t>
            </w:r>
            <w:r w:rsidR="0045750F">
              <w:t>Fiscal Years 2022 and 2023, in accordance with the Florida Statute</w:t>
            </w:r>
            <w:r w:rsidR="00635770">
              <w:t xml:space="preserve"> </w:t>
            </w:r>
            <w:r w:rsidR="00635770">
              <w:rPr>
                <w:sz w:val="23"/>
                <w:szCs w:val="23"/>
              </w:rPr>
              <w:t>§ 1</w:t>
            </w:r>
            <w:r w:rsidR="00635770">
              <w:t xml:space="preserve">012.978 and BOG Regulation 9.015. </w:t>
            </w:r>
            <w:r w:rsidR="00806F6A">
              <w:t>He stated t</w:t>
            </w:r>
            <w:r w:rsidR="00635770">
              <w:t xml:space="preserve">he bonus data reflects the type of bonuses, funding sources and amounts that paid out over the last two fiscal years. The Compensation Policy (4.0110P) was included in the materials and details what is allowed and not allowed for bonus pay. </w:t>
            </w:r>
          </w:p>
          <w:p w14:paraId="525318CC" w14:textId="77777777" w:rsidR="00635770" w:rsidRDefault="00635770" w:rsidP="007319EE"/>
          <w:p w14:paraId="384DC56F" w14:textId="270F2E5D" w:rsidR="00BD22EF" w:rsidRDefault="00635770" w:rsidP="007319EE">
            <w:r>
              <w:t>Fiscal year 2022 paid 39 bonuses totaling</w:t>
            </w:r>
            <w:r w:rsidR="006C595D">
              <w:t xml:space="preserve"> just over $140,000, </w:t>
            </w:r>
            <w:r w:rsidR="008F06EB">
              <w:t xml:space="preserve">and fiscal year 2023 </w:t>
            </w:r>
            <w:r w:rsidR="0045786F">
              <w:t>paid</w:t>
            </w:r>
            <w:r w:rsidR="008F06EB">
              <w:t xml:space="preserve"> 77 bonuses for a total of $249,000. Vice President Bennett stated that many of the bonuses are paid out contractually and fluctuations can be seen year-to-year, especially on auxiliaries. Several auxiliaries have metrics and key performance indicators (KIP’s) associated </w:t>
            </w:r>
            <w:r w:rsidR="00BD22EF">
              <w:t xml:space="preserve">with </w:t>
            </w:r>
            <w:r w:rsidR="00DB438C">
              <w:t>t</w:t>
            </w:r>
            <w:r w:rsidR="00BD22EF">
              <w:t xml:space="preserve">heir performance and if those performances are met, associated bonuses will be paid, and in years they are not met, there is no bonus. </w:t>
            </w:r>
          </w:p>
          <w:p w14:paraId="6ED75FC2" w14:textId="77777777" w:rsidR="00BD22EF" w:rsidRDefault="00BD22EF" w:rsidP="007319EE"/>
          <w:p w14:paraId="509B09C4" w14:textId="39E98AB3" w:rsidR="00635770" w:rsidRDefault="00BD22EF" w:rsidP="007319EE">
            <w:r>
              <w:lastRenderedPageBreak/>
              <w:t xml:space="preserve">President Limayem </w:t>
            </w:r>
            <w:r w:rsidR="00905652">
              <w:t>stated</w:t>
            </w:r>
            <w:r w:rsidR="008E381E">
              <w:t xml:space="preserve"> that as UNF rethinks recruitment efforts and accountability, we will see more performance</w:t>
            </w:r>
            <w:r w:rsidR="00D73F34">
              <w:t>-</w:t>
            </w:r>
            <w:r w:rsidR="008E381E">
              <w:t xml:space="preserve">based </w:t>
            </w:r>
            <w:r w:rsidR="00D73F34">
              <w:t xml:space="preserve">bonuses. </w:t>
            </w:r>
            <w:r w:rsidR="00106400">
              <w:t xml:space="preserve">Most </w:t>
            </w:r>
            <w:r w:rsidR="00D73F34">
              <w:t>leadership role</w:t>
            </w:r>
            <w:r w:rsidR="001C1C3A">
              <w:t>s</w:t>
            </w:r>
            <w:r w:rsidR="00D73F34">
              <w:t xml:space="preserve"> </w:t>
            </w:r>
            <w:r w:rsidR="00832AF1">
              <w:t>have</w:t>
            </w:r>
            <w:r w:rsidR="00D73F34">
              <w:t xml:space="preserve"> a bonus included in a contract for key metrics based on success. </w:t>
            </w:r>
            <w:r w:rsidR="003A0884">
              <w:t xml:space="preserve">Trustee Binder asked if the bonus data is broken out by what the metrics are, and Vice President Bennett responded there is a detailed spreadsheet with that information. </w:t>
            </w:r>
          </w:p>
          <w:p w14:paraId="0371F1E1" w14:textId="77777777" w:rsidR="003A0884" w:rsidRDefault="003A0884" w:rsidP="007319EE"/>
          <w:p w14:paraId="71263366" w14:textId="38A648C6" w:rsidR="003E1B1C" w:rsidRPr="00C542BC" w:rsidRDefault="003A0884" w:rsidP="007319EE">
            <w:r>
              <w:t>Trustee Patel made a MOTION to APPROVE</w:t>
            </w:r>
            <w:r w:rsidR="00C9285A">
              <w:t xml:space="preserve">. BOT Chair Hyde SECONDED the motion, and the committee unanimously APPROVED. </w:t>
            </w:r>
          </w:p>
          <w:p w14:paraId="608F800D" w14:textId="77777777" w:rsidR="00CD27B4" w:rsidRPr="00C542BC" w:rsidRDefault="00CD27B4" w:rsidP="00C9285A"/>
        </w:tc>
      </w:tr>
      <w:tr w:rsidR="003E1B1C" w14:paraId="73BC97BE" w14:textId="77777777" w:rsidTr="006A0B1B">
        <w:tc>
          <w:tcPr>
            <w:tcW w:w="2160" w:type="dxa"/>
          </w:tcPr>
          <w:p w14:paraId="1DF57C10" w14:textId="6F7A5EC4" w:rsidR="003E1B1C" w:rsidRPr="00C542BC" w:rsidRDefault="003E1B1C" w:rsidP="00CD27B4">
            <w:pPr>
              <w:rPr>
                <w:b/>
                <w:bCs/>
              </w:rPr>
            </w:pPr>
            <w:r w:rsidRPr="00C542BC">
              <w:rPr>
                <w:b/>
                <w:bCs/>
              </w:rPr>
              <w:lastRenderedPageBreak/>
              <w:t>Item 5</w:t>
            </w:r>
          </w:p>
        </w:tc>
        <w:tc>
          <w:tcPr>
            <w:tcW w:w="7650" w:type="dxa"/>
            <w:vAlign w:val="center"/>
          </w:tcPr>
          <w:p w14:paraId="4C0A7CD4" w14:textId="77777777" w:rsidR="003E1B1C" w:rsidRPr="00C542BC" w:rsidRDefault="003E1B1C" w:rsidP="003E1B1C">
            <w:pPr>
              <w:pStyle w:val="Heading2"/>
              <w:rPr>
                <w:sz w:val="22"/>
                <w:szCs w:val="22"/>
              </w:rPr>
            </w:pPr>
            <w:r w:rsidRPr="00C542BC">
              <w:rPr>
                <w:sz w:val="22"/>
                <w:szCs w:val="22"/>
              </w:rPr>
              <w:t>Reallocation of CITF funds</w:t>
            </w:r>
          </w:p>
          <w:p w14:paraId="7BF1CEE6" w14:textId="03CA315A" w:rsidR="003E1B1C" w:rsidRDefault="003E1B1C" w:rsidP="00C9285A">
            <w:pPr>
              <w:pStyle w:val="Heading2"/>
              <w:rPr>
                <w:b w:val="0"/>
                <w:bCs/>
                <w:sz w:val="22"/>
                <w:szCs w:val="22"/>
              </w:rPr>
            </w:pPr>
            <w:r w:rsidRPr="00C542BC">
              <w:rPr>
                <w:b w:val="0"/>
                <w:bCs/>
                <w:sz w:val="22"/>
                <w:szCs w:val="22"/>
              </w:rPr>
              <w:t xml:space="preserve">Vice President Bennett </w:t>
            </w:r>
            <w:r w:rsidR="00C9285A">
              <w:rPr>
                <w:b w:val="0"/>
                <w:bCs/>
                <w:sz w:val="22"/>
                <w:szCs w:val="22"/>
              </w:rPr>
              <w:t xml:space="preserve">presented the request to reallocate a portion of the current year CITF funds. Each year, the administration meets with Student Government and discusses projects that may be of interest to the student body as a whole </w:t>
            </w:r>
            <w:r w:rsidR="006C5932">
              <w:rPr>
                <w:b w:val="0"/>
                <w:bCs/>
                <w:sz w:val="22"/>
                <w:szCs w:val="22"/>
              </w:rPr>
              <w:t xml:space="preserve">and </w:t>
            </w:r>
            <w:r w:rsidR="00C34B83">
              <w:rPr>
                <w:b w:val="0"/>
                <w:bCs/>
                <w:sz w:val="22"/>
                <w:szCs w:val="22"/>
              </w:rPr>
              <w:t>then</w:t>
            </w:r>
            <w:r w:rsidR="006C5932">
              <w:rPr>
                <w:b w:val="0"/>
                <w:bCs/>
                <w:sz w:val="22"/>
                <w:szCs w:val="22"/>
              </w:rPr>
              <w:t xml:space="preserve"> brought to the Board </w:t>
            </w:r>
            <w:r w:rsidR="00C34B83">
              <w:rPr>
                <w:b w:val="0"/>
                <w:bCs/>
                <w:sz w:val="22"/>
                <w:szCs w:val="22"/>
              </w:rPr>
              <w:t>for</w:t>
            </w:r>
            <w:r w:rsidR="006C5932">
              <w:rPr>
                <w:b w:val="0"/>
                <w:bCs/>
                <w:sz w:val="22"/>
                <w:szCs w:val="22"/>
              </w:rPr>
              <w:t xml:space="preserve"> inclusion in the fixed capital outlay budget. Vice President Bennett stated there </w:t>
            </w:r>
            <w:r w:rsidR="00C34B83">
              <w:rPr>
                <w:b w:val="0"/>
                <w:bCs/>
                <w:sz w:val="22"/>
                <w:szCs w:val="22"/>
              </w:rPr>
              <w:t>was not</w:t>
            </w:r>
            <w:r w:rsidR="006C5932">
              <w:rPr>
                <w:b w:val="0"/>
                <w:bCs/>
                <w:sz w:val="22"/>
                <w:szCs w:val="22"/>
              </w:rPr>
              <w:t xml:space="preserve"> a priority recognized for the allocation of funding at the time of this past year’s discussions. </w:t>
            </w:r>
          </w:p>
          <w:p w14:paraId="4A2F1768" w14:textId="77777777" w:rsidR="006C5932" w:rsidRDefault="006C5932" w:rsidP="006C5932"/>
          <w:p w14:paraId="58E7076F" w14:textId="0C5B5661" w:rsidR="006C5932" w:rsidRDefault="006C5932" w:rsidP="006C5932">
            <w:r>
              <w:t xml:space="preserve">Approximately $2.2M - $2.4M was </w:t>
            </w:r>
            <w:r w:rsidR="00C34B83">
              <w:t>put</w:t>
            </w:r>
            <w:r>
              <w:t xml:space="preserve"> in the fixed capital outlay budget towards the new Student Services building, which is also a req</w:t>
            </w:r>
            <w:r w:rsidR="001D734A">
              <w:t>uest for legislative funding. Since the initial discussions, Student Government and Athletics has requested to re-allocate $320,000</w:t>
            </w:r>
            <w:r w:rsidR="00EB497E">
              <w:t xml:space="preserve"> of that funding</w:t>
            </w:r>
            <w:r w:rsidR="001D734A">
              <w:t xml:space="preserve"> for the tennis complex. The request includes paving the existing tennis courts and turning one of them into two or three pickleball courts, which has become </w:t>
            </w:r>
            <w:r w:rsidR="005D2E1C">
              <w:t xml:space="preserve">big for the students. The project would include fencing and lighting those areas. The re-allocation of these funds </w:t>
            </w:r>
            <w:r w:rsidR="00C34B83">
              <w:t>will not</w:t>
            </w:r>
            <w:r w:rsidR="005D2E1C">
              <w:t xml:space="preserve"> affect the existing project it </w:t>
            </w:r>
            <w:r w:rsidR="00C34B83">
              <w:t>is allocated for</w:t>
            </w:r>
            <w:r w:rsidR="005D2E1C">
              <w:t xml:space="preserve">, and it will go to the Board of Governors staff for final approval. </w:t>
            </w:r>
          </w:p>
          <w:p w14:paraId="29D02F1D" w14:textId="77777777" w:rsidR="005D2E1C" w:rsidRDefault="005D2E1C" w:rsidP="006C5932"/>
          <w:p w14:paraId="15364DD4" w14:textId="3B3CF3EA" w:rsidR="005D2E1C" w:rsidRDefault="005D2E1C" w:rsidP="006C5932">
            <w:r>
              <w:t>Trustee Gross</w:t>
            </w:r>
            <w:r w:rsidR="00761E49">
              <w:t>o</w:t>
            </w:r>
            <w:r>
              <w:t xml:space="preserve"> expressed his full support of the request and </w:t>
            </w:r>
            <w:r w:rsidR="00761E49">
              <w:t>stated</w:t>
            </w:r>
            <w:r>
              <w:t xml:space="preserve"> he walked through the tennis complex spaces and feels these funds are much needed. In addition to improving </w:t>
            </w:r>
            <w:r w:rsidR="00E62D65">
              <w:t xml:space="preserve">the athletics spaces, </w:t>
            </w:r>
            <w:r w:rsidR="00D427C5">
              <w:t>it is</w:t>
            </w:r>
            <w:r w:rsidR="00E62D65">
              <w:t xml:space="preserve"> an important priority for UNF’s growing campus and a great opportunity for all students, faculty, and staff to utilize and enjoy the space. </w:t>
            </w:r>
          </w:p>
          <w:p w14:paraId="69BAF956" w14:textId="77777777" w:rsidR="00E62D65" w:rsidRDefault="00E62D65" w:rsidP="006C5932"/>
          <w:p w14:paraId="1AEED7BC" w14:textId="44D482FB" w:rsidR="00E62D65" w:rsidRDefault="00E62D65" w:rsidP="006C5932">
            <w:r>
              <w:t>Athletics Director Nick Morrow added there are only two courts on the entire campus that serves both tennis and pickleball. Pickleball lines were re</w:t>
            </w:r>
            <w:r w:rsidR="00622D71">
              <w:t xml:space="preserve">cently </w:t>
            </w:r>
            <w:r>
              <w:t>added to the courts which opens more opportunities for th</w:t>
            </w:r>
            <w:r w:rsidR="00FF7996">
              <w:t xml:space="preserve">e campus community. As Athletics looks to further collaborate with different </w:t>
            </w:r>
            <w:r w:rsidR="00FF7996">
              <w:lastRenderedPageBreak/>
              <w:t xml:space="preserve">departments and areas on campus, this initiative provides a great start and will beautify the tennis complex area. </w:t>
            </w:r>
          </w:p>
          <w:p w14:paraId="77136A48" w14:textId="77777777" w:rsidR="00FF7996" w:rsidRDefault="00FF7996" w:rsidP="006C5932"/>
          <w:p w14:paraId="62300EB4" w14:textId="59F3BC1C" w:rsidR="00FF7996" w:rsidRPr="006C5932" w:rsidRDefault="00FF7996" w:rsidP="006C5932">
            <w:r>
              <w:t>Trustee McElroy made a motion to APPROVE the reallocation of CITF Funds</w:t>
            </w:r>
            <w:r w:rsidR="00C976BF">
              <w:t xml:space="preserve">. Trustee Grosso SECONDED the motion, and the committee unanimously APPROVED. </w:t>
            </w:r>
          </w:p>
          <w:p w14:paraId="6DA52656" w14:textId="7C309C95" w:rsidR="003E1B1C" w:rsidRPr="00C542BC" w:rsidRDefault="003E1B1C" w:rsidP="003E1B1C"/>
        </w:tc>
      </w:tr>
      <w:tr w:rsidR="00F4027C" w14:paraId="7E1DE492" w14:textId="77777777" w:rsidTr="006A0B1B">
        <w:tc>
          <w:tcPr>
            <w:tcW w:w="2160" w:type="dxa"/>
          </w:tcPr>
          <w:p w14:paraId="0AA3042C" w14:textId="71B6F580" w:rsidR="00F4027C" w:rsidRPr="00C542BC" w:rsidRDefault="00F4027C" w:rsidP="00CD27B4">
            <w:pPr>
              <w:rPr>
                <w:b/>
                <w:bCs/>
              </w:rPr>
            </w:pPr>
            <w:r w:rsidRPr="00C542BC">
              <w:rPr>
                <w:b/>
                <w:bCs/>
              </w:rPr>
              <w:lastRenderedPageBreak/>
              <w:t>Item 6</w:t>
            </w:r>
          </w:p>
        </w:tc>
        <w:tc>
          <w:tcPr>
            <w:tcW w:w="7650" w:type="dxa"/>
            <w:vAlign w:val="center"/>
          </w:tcPr>
          <w:p w14:paraId="70A2E614" w14:textId="788C7504" w:rsidR="00F4027C" w:rsidRPr="00C542BC" w:rsidRDefault="00212EC9" w:rsidP="007319EE">
            <w:pPr>
              <w:pStyle w:val="Heading2"/>
              <w:rPr>
                <w:sz w:val="22"/>
                <w:szCs w:val="22"/>
              </w:rPr>
            </w:pPr>
            <w:r w:rsidRPr="00C542BC">
              <w:rPr>
                <w:sz w:val="22"/>
                <w:szCs w:val="22"/>
              </w:rPr>
              <w:t>Approval of New Dormitory CA Services</w:t>
            </w:r>
          </w:p>
          <w:p w14:paraId="5C94E532" w14:textId="3102E6B7" w:rsidR="00BC4418" w:rsidRDefault="009421B3" w:rsidP="00F4027C">
            <w:pPr>
              <w:spacing w:line="259" w:lineRule="auto"/>
            </w:pPr>
            <w:r>
              <w:t>The East Ridge Honors Residence Hall</w:t>
            </w:r>
            <w:r w:rsidR="004E67D0">
              <w:t xml:space="preserve"> change order</w:t>
            </w:r>
            <w:r>
              <w:t xml:space="preserve"> was presented by Vice President Bennett. He stated there is no change to the existing contract </w:t>
            </w:r>
            <w:r w:rsidR="00A909CB">
              <w:t xml:space="preserve">amount </w:t>
            </w:r>
            <w:r>
              <w:t>for services, only an increase to the initial purchase order amount</w:t>
            </w:r>
            <w:r w:rsidR="00052330">
              <w:t xml:space="preserve"> </w:t>
            </w:r>
            <w:r w:rsidR="00CA16D7">
              <w:t xml:space="preserve">as </w:t>
            </w:r>
            <w:r w:rsidR="00052330">
              <w:t>different</w:t>
            </w:r>
            <w:r w:rsidR="00CA16D7">
              <w:t xml:space="preserve"> scopes of work </w:t>
            </w:r>
            <w:r w:rsidR="00A909CB">
              <w:t>is</w:t>
            </w:r>
            <w:r w:rsidR="008F7E00">
              <w:t xml:space="preserve"> started</w:t>
            </w:r>
            <w:r w:rsidR="00CA16D7">
              <w:t xml:space="preserve">. Due to the next scope of services being over $1M for the construction administration services </w:t>
            </w:r>
            <w:r w:rsidR="00BC4418">
              <w:t xml:space="preserve">in the next phase, </w:t>
            </w:r>
            <w:r w:rsidR="009D31A3">
              <w:t>committee</w:t>
            </w:r>
            <w:r w:rsidR="00BC4418">
              <w:t xml:space="preserve"> approval is required to increase the PO. Associate Vice President John Hale stated tree clearing will begin in December and the project is ready to move forward. </w:t>
            </w:r>
          </w:p>
          <w:p w14:paraId="5C0C7089" w14:textId="77777777" w:rsidR="00BC4418" w:rsidRDefault="00BC4418" w:rsidP="00F4027C">
            <w:pPr>
              <w:spacing w:line="259" w:lineRule="auto"/>
            </w:pPr>
          </w:p>
          <w:p w14:paraId="71F2BEC0" w14:textId="5D9B10EE" w:rsidR="00BC4418" w:rsidRDefault="00BC4418" w:rsidP="00F4027C">
            <w:pPr>
              <w:spacing w:line="259" w:lineRule="auto"/>
            </w:pPr>
            <w:r>
              <w:t xml:space="preserve">Trustee McElroy asked to clarify the total amount of the change order. Associate Vice President Hale confirmed a total of $1,000,036 will be added to the previously encumbered amount of $3.3M, bringing the total contract value on the PO to $4.3M </w:t>
            </w:r>
          </w:p>
          <w:p w14:paraId="194FFA9A" w14:textId="77777777" w:rsidR="00BC4418" w:rsidRDefault="00BC4418" w:rsidP="00F4027C">
            <w:pPr>
              <w:spacing w:line="259" w:lineRule="auto"/>
            </w:pPr>
          </w:p>
          <w:p w14:paraId="3C9B4103" w14:textId="55C8726F" w:rsidR="00BC4418" w:rsidRDefault="00BC4418" w:rsidP="00F4027C">
            <w:pPr>
              <w:spacing w:line="259" w:lineRule="auto"/>
            </w:pPr>
            <w:r>
              <w:t xml:space="preserve">Trustee McElroy stated it’s interesting that the committee would approve a $1M change order to a $3M+ contract that wasn’t approved by the committee. Vice President Bennett </w:t>
            </w:r>
            <w:r w:rsidR="0020320C">
              <w:t>stated</w:t>
            </w:r>
            <w:r>
              <w:t xml:space="preserve"> that contracts over $1M are </w:t>
            </w:r>
            <w:r w:rsidR="00C3461E">
              <w:t>sent</w:t>
            </w:r>
            <w:r w:rsidR="00084C14">
              <w:t xml:space="preserve"> to the committee chair for approval, and every $1M change order after that is brought to the full committee. This </w:t>
            </w:r>
            <w:r w:rsidR="00E525BC">
              <w:t xml:space="preserve">procedure </w:t>
            </w:r>
            <w:r w:rsidR="00084C14">
              <w:t xml:space="preserve">was recently </w:t>
            </w:r>
            <w:r w:rsidR="000679D7">
              <w:t>discussed,</w:t>
            </w:r>
            <w:r w:rsidR="00084C14">
              <w:t xml:space="preserve"> and the bylaws will be revi</w:t>
            </w:r>
            <w:r w:rsidR="001E3D00">
              <w:t>ew</w:t>
            </w:r>
            <w:r w:rsidR="00470662">
              <w:t xml:space="preserve">ed to </w:t>
            </w:r>
            <w:r w:rsidR="00F77553">
              <w:t>propose</w:t>
            </w:r>
            <w:r w:rsidR="00470662">
              <w:t xml:space="preserve"> a better process for approvals. </w:t>
            </w:r>
          </w:p>
          <w:p w14:paraId="1EF5A811" w14:textId="77777777" w:rsidR="00470662" w:rsidRDefault="00470662" w:rsidP="00F4027C">
            <w:pPr>
              <w:spacing w:line="259" w:lineRule="auto"/>
            </w:pPr>
          </w:p>
          <w:p w14:paraId="3ADAF656" w14:textId="6467F154" w:rsidR="00470662" w:rsidRPr="009421B3" w:rsidRDefault="00470662" w:rsidP="00F4027C">
            <w:pPr>
              <w:spacing w:line="259" w:lineRule="auto"/>
            </w:pPr>
            <w:r>
              <w:t xml:space="preserve">Trustee McElroy made a motion to APPROVE the change order request. BOT Chair Hyde SECONDED the Motion, and the committee unanimously APPROVED. </w:t>
            </w:r>
          </w:p>
          <w:p w14:paraId="2AE3BEDD" w14:textId="05CBA5C3" w:rsidR="00F4027C" w:rsidRPr="00C542BC" w:rsidRDefault="00F4027C" w:rsidP="00470662"/>
        </w:tc>
      </w:tr>
      <w:tr w:rsidR="00CD27B4" w14:paraId="730C60EC" w14:textId="77777777" w:rsidTr="006A0B1B">
        <w:tc>
          <w:tcPr>
            <w:tcW w:w="2160" w:type="dxa"/>
          </w:tcPr>
          <w:p w14:paraId="68DB4999" w14:textId="5038E227" w:rsidR="00CD27B4" w:rsidRPr="00C542BC" w:rsidRDefault="00CD27B4" w:rsidP="00CD27B4">
            <w:pPr>
              <w:rPr>
                <w:b/>
                <w:bCs/>
              </w:rPr>
            </w:pPr>
            <w:r w:rsidRPr="00C542BC">
              <w:rPr>
                <w:b/>
                <w:bCs/>
              </w:rPr>
              <w:t xml:space="preserve">Item </w:t>
            </w:r>
            <w:r w:rsidR="00F4027C" w:rsidRPr="00C542BC">
              <w:rPr>
                <w:b/>
                <w:bCs/>
              </w:rPr>
              <w:t>7</w:t>
            </w:r>
          </w:p>
          <w:p w14:paraId="3FA3526A" w14:textId="77777777" w:rsidR="00CD27B4" w:rsidRPr="00C542BC" w:rsidRDefault="00CD27B4" w:rsidP="00CD27B4">
            <w:pPr>
              <w:rPr>
                <w:b/>
                <w:bCs/>
              </w:rPr>
            </w:pPr>
          </w:p>
        </w:tc>
        <w:tc>
          <w:tcPr>
            <w:tcW w:w="7650" w:type="dxa"/>
            <w:vAlign w:val="center"/>
          </w:tcPr>
          <w:p w14:paraId="7F436883" w14:textId="77777777" w:rsidR="00C542BC" w:rsidRPr="00C542BC" w:rsidRDefault="00C542BC" w:rsidP="00C542BC">
            <w:pPr>
              <w:pStyle w:val="Heading2"/>
              <w:rPr>
                <w:sz w:val="22"/>
                <w:szCs w:val="22"/>
              </w:rPr>
            </w:pPr>
            <w:r w:rsidRPr="00C542BC">
              <w:rPr>
                <w:sz w:val="22"/>
                <w:szCs w:val="22"/>
              </w:rPr>
              <w:t>Fiscal Year 2022-2023 Results: Draft Financial Statements</w:t>
            </w:r>
          </w:p>
          <w:p w14:paraId="64AD7244" w14:textId="5A94D054" w:rsidR="007340CA" w:rsidRDefault="00C542BC" w:rsidP="00C542BC">
            <w:pPr>
              <w:rPr>
                <w:bCs/>
              </w:rPr>
            </w:pPr>
            <w:r w:rsidRPr="00C542BC">
              <w:rPr>
                <w:bCs/>
              </w:rPr>
              <w:t xml:space="preserve">Vice President Bennett </w:t>
            </w:r>
            <w:r w:rsidR="00864D44">
              <w:rPr>
                <w:bCs/>
              </w:rPr>
              <w:t>reported on the draft financial statements for Fiscal Year 2022-2023</w:t>
            </w:r>
            <w:r w:rsidR="009C1110">
              <w:rPr>
                <w:bCs/>
              </w:rPr>
              <w:t xml:space="preserve"> which is due to the State at the end of October</w:t>
            </w:r>
            <w:r w:rsidR="00864D44">
              <w:rPr>
                <w:bCs/>
              </w:rPr>
              <w:t xml:space="preserve">. </w:t>
            </w:r>
            <w:r w:rsidR="00167353">
              <w:rPr>
                <w:bCs/>
              </w:rPr>
              <w:t xml:space="preserve">Historically, there have been </w:t>
            </w:r>
            <w:r w:rsidR="00CB494A">
              <w:rPr>
                <w:bCs/>
              </w:rPr>
              <w:t xml:space="preserve">no </w:t>
            </w:r>
            <w:r w:rsidR="00167353">
              <w:rPr>
                <w:bCs/>
              </w:rPr>
              <w:t xml:space="preserve">issues with the </w:t>
            </w:r>
            <w:r w:rsidR="007340CA">
              <w:rPr>
                <w:bCs/>
              </w:rPr>
              <w:t>audit,</w:t>
            </w:r>
            <w:r w:rsidR="00167353">
              <w:rPr>
                <w:bCs/>
              </w:rPr>
              <w:t xml:space="preserve"> and they have all come back clean. </w:t>
            </w:r>
            <w:r w:rsidR="00F749DF">
              <w:rPr>
                <w:bCs/>
              </w:rPr>
              <w:lastRenderedPageBreak/>
              <w:t>Report highlights</w:t>
            </w:r>
            <w:r w:rsidR="00466AE4">
              <w:rPr>
                <w:bCs/>
              </w:rPr>
              <w:t xml:space="preserve"> were </w:t>
            </w:r>
            <w:r w:rsidR="003E7C15">
              <w:rPr>
                <w:bCs/>
              </w:rPr>
              <w:t>discussed</w:t>
            </w:r>
            <w:r w:rsidR="00160078">
              <w:rPr>
                <w:bCs/>
              </w:rPr>
              <w:t>,</w:t>
            </w:r>
            <w:r w:rsidR="00466AE4">
              <w:rPr>
                <w:bCs/>
              </w:rPr>
              <w:t xml:space="preserve"> and the full financial statement was </w:t>
            </w:r>
            <w:r w:rsidR="00160078">
              <w:rPr>
                <w:bCs/>
              </w:rPr>
              <w:t>available</w:t>
            </w:r>
            <w:r w:rsidR="00466AE4">
              <w:rPr>
                <w:bCs/>
              </w:rPr>
              <w:t xml:space="preserve"> in the materials</w:t>
            </w:r>
            <w:r w:rsidR="00F749DF">
              <w:rPr>
                <w:bCs/>
              </w:rPr>
              <w:t xml:space="preserve">. </w:t>
            </w:r>
          </w:p>
          <w:p w14:paraId="0551EA4D" w14:textId="77777777" w:rsidR="007340CA" w:rsidRDefault="007340CA" w:rsidP="00C542BC">
            <w:pPr>
              <w:rPr>
                <w:bCs/>
              </w:rPr>
            </w:pPr>
          </w:p>
          <w:p w14:paraId="11FEEE90" w14:textId="2088665E" w:rsidR="00AB2DDB" w:rsidRDefault="00077D23" w:rsidP="00AB2DDB">
            <w:pPr>
              <w:pStyle w:val="ListParagraph"/>
              <w:numPr>
                <w:ilvl w:val="0"/>
                <w:numId w:val="4"/>
              </w:numPr>
              <w:rPr>
                <w:bCs/>
              </w:rPr>
            </w:pPr>
            <w:r w:rsidRPr="00AB2DDB">
              <w:rPr>
                <w:bCs/>
              </w:rPr>
              <w:t>There was an o</w:t>
            </w:r>
            <w:r w:rsidR="00BB0D73" w:rsidRPr="00AB2DDB">
              <w:rPr>
                <w:bCs/>
              </w:rPr>
              <w:t>verall net position increase</w:t>
            </w:r>
            <w:r w:rsidR="001478A8" w:rsidRPr="00AB2DDB">
              <w:rPr>
                <w:bCs/>
              </w:rPr>
              <w:t xml:space="preserve"> of $30.4M, resulting from an increase in assets and deferred outflows of $16.5M</w:t>
            </w:r>
            <w:r w:rsidR="00133ABE" w:rsidRPr="00AB2DDB">
              <w:rPr>
                <w:bCs/>
              </w:rPr>
              <w:t xml:space="preserve"> (2.3%)</w:t>
            </w:r>
            <w:r w:rsidR="003F45E5">
              <w:rPr>
                <w:bCs/>
              </w:rPr>
              <w:t>,</w:t>
            </w:r>
            <w:r w:rsidR="00133ABE" w:rsidRPr="00AB2DDB">
              <w:rPr>
                <w:bCs/>
              </w:rPr>
              <w:t xml:space="preserve"> and a decrease in liabilities and deferred inflows of $13.9M (3%).</w:t>
            </w:r>
          </w:p>
          <w:p w14:paraId="26A47DC3" w14:textId="24F97B61" w:rsidR="00BF7F84" w:rsidRPr="00AB2DDB" w:rsidRDefault="00133ABE" w:rsidP="00AB2DDB">
            <w:pPr>
              <w:pStyle w:val="ListParagraph"/>
              <w:numPr>
                <w:ilvl w:val="0"/>
                <w:numId w:val="4"/>
              </w:numPr>
              <w:rPr>
                <w:bCs/>
              </w:rPr>
            </w:pPr>
            <w:r w:rsidRPr="00AB2DDB">
              <w:rPr>
                <w:bCs/>
              </w:rPr>
              <w:t>Operating revenues decreased by $13.6M (9.5%) primarily due to the decrease in net tuition</w:t>
            </w:r>
            <w:r w:rsidR="00E61B71" w:rsidRPr="00AB2DDB">
              <w:rPr>
                <w:bCs/>
              </w:rPr>
              <w:t xml:space="preserve"> of $10.1M. Auxiliary operations increased by $1.8M</w:t>
            </w:r>
            <w:r w:rsidR="005679B7" w:rsidRPr="00AB2DDB">
              <w:rPr>
                <w:bCs/>
              </w:rPr>
              <w:t xml:space="preserve">. </w:t>
            </w:r>
          </w:p>
          <w:p w14:paraId="4298F33C" w14:textId="4BBEDE68" w:rsidR="00BF7F84" w:rsidRDefault="00EF5D4A" w:rsidP="001F2F24">
            <w:pPr>
              <w:pStyle w:val="ListParagraph"/>
              <w:numPr>
                <w:ilvl w:val="0"/>
                <w:numId w:val="3"/>
              </w:numPr>
              <w:rPr>
                <w:bCs/>
              </w:rPr>
            </w:pPr>
            <w:r w:rsidRPr="00BF7F84">
              <w:rPr>
                <w:bCs/>
              </w:rPr>
              <w:t>Operating expenses also decreased by $13.9M (4.2%)</w:t>
            </w:r>
            <w:r w:rsidR="00160B94" w:rsidRPr="00BF7F84">
              <w:rPr>
                <w:bCs/>
              </w:rPr>
              <w:t>,</w:t>
            </w:r>
            <w:r w:rsidRPr="00BF7F84">
              <w:rPr>
                <w:bCs/>
              </w:rPr>
              <w:t xml:space="preserve"> which move</w:t>
            </w:r>
            <w:r w:rsidR="006E6363">
              <w:rPr>
                <w:bCs/>
              </w:rPr>
              <w:t>d</w:t>
            </w:r>
            <w:r w:rsidRPr="00BF7F84">
              <w:rPr>
                <w:bCs/>
              </w:rPr>
              <w:t xml:space="preserve"> up the net position.</w:t>
            </w:r>
            <w:r w:rsidR="00160B94" w:rsidRPr="00BF7F84">
              <w:rPr>
                <w:bCs/>
              </w:rPr>
              <w:t xml:space="preserve"> </w:t>
            </w:r>
            <w:r w:rsidR="00F04215" w:rsidRPr="00BF7F84">
              <w:rPr>
                <w:bCs/>
              </w:rPr>
              <w:t>This is a result of</w:t>
            </w:r>
            <w:r w:rsidR="002B0FFA" w:rsidRPr="00BF7F84">
              <w:rPr>
                <w:bCs/>
              </w:rPr>
              <w:t xml:space="preserve"> a</w:t>
            </w:r>
            <w:r w:rsidR="00160B94" w:rsidRPr="00BF7F84">
              <w:rPr>
                <w:bCs/>
              </w:rPr>
              <w:t xml:space="preserve"> decrease in scholarships and fellowships as the</w:t>
            </w:r>
            <w:r w:rsidR="002B0FFA" w:rsidRPr="00BF7F84">
              <w:rPr>
                <w:bCs/>
              </w:rPr>
              <w:t xml:space="preserve"> federal COVID money was no longer flowing through. </w:t>
            </w:r>
            <w:r w:rsidR="00160B94" w:rsidRPr="00BF7F84">
              <w:rPr>
                <w:bCs/>
              </w:rPr>
              <w:t xml:space="preserve"> </w:t>
            </w:r>
          </w:p>
          <w:p w14:paraId="39B2B539" w14:textId="42CC597F" w:rsidR="00725D08" w:rsidRDefault="00BF7F84" w:rsidP="001F2F24">
            <w:pPr>
              <w:pStyle w:val="ListParagraph"/>
              <w:numPr>
                <w:ilvl w:val="0"/>
                <w:numId w:val="3"/>
              </w:numPr>
              <w:rPr>
                <w:bCs/>
              </w:rPr>
            </w:pPr>
            <w:r>
              <w:rPr>
                <w:bCs/>
              </w:rPr>
              <w:t>Capital assets increased by $1</w:t>
            </w:r>
            <w:r w:rsidR="000D11BE">
              <w:rPr>
                <w:bCs/>
              </w:rPr>
              <w:t>6</w:t>
            </w:r>
            <w:r>
              <w:rPr>
                <w:bCs/>
              </w:rPr>
              <w:t>.7M net of depreciation</w:t>
            </w:r>
            <w:r w:rsidR="00725D08">
              <w:rPr>
                <w:bCs/>
              </w:rPr>
              <w:t xml:space="preserve"> and long-term debt decreased by $9.1M.</w:t>
            </w:r>
            <w:r w:rsidR="008D6499">
              <w:rPr>
                <w:bCs/>
              </w:rPr>
              <w:t xml:space="preserve"> </w:t>
            </w:r>
          </w:p>
          <w:p w14:paraId="79FE7266" w14:textId="77777777" w:rsidR="00AB2DDB" w:rsidRDefault="00AB2DDB" w:rsidP="00AB2DDB">
            <w:pPr>
              <w:rPr>
                <w:bCs/>
              </w:rPr>
            </w:pPr>
          </w:p>
          <w:p w14:paraId="580D6A64" w14:textId="12073B62" w:rsidR="00C542BC" w:rsidRPr="00A5090A" w:rsidRDefault="00AB2DDB" w:rsidP="00A5090A">
            <w:pPr>
              <w:rPr>
                <w:bCs/>
              </w:rPr>
            </w:pPr>
            <w:r>
              <w:rPr>
                <w:bCs/>
              </w:rPr>
              <w:t xml:space="preserve">Vice President Bennett noted that as debt is paid down </w:t>
            </w:r>
            <w:r w:rsidR="001B61FB">
              <w:rPr>
                <w:bCs/>
              </w:rPr>
              <w:t xml:space="preserve">now, </w:t>
            </w:r>
            <w:r>
              <w:rPr>
                <w:bCs/>
              </w:rPr>
              <w:t xml:space="preserve">there will be </w:t>
            </w:r>
            <w:r w:rsidR="00706D94">
              <w:rPr>
                <w:bCs/>
              </w:rPr>
              <w:t>a significant increase</w:t>
            </w:r>
            <w:r w:rsidR="003E2FF9">
              <w:rPr>
                <w:bCs/>
              </w:rPr>
              <w:t xml:space="preserve"> in long-term debt</w:t>
            </w:r>
            <w:r w:rsidR="006E4E31">
              <w:rPr>
                <w:bCs/>
              </w:rPr>
              <w:t xml:space="preserve"> in the coming year</w:t>
            </w:r>
            <w:r w:rsidR="003E2FF9">
              <w:rPr>
                <w:bCs/>
              </w:rPr>
              <w:t xml:space="preserve">. </w:t>
            </w:r>
          </w:p>
          <w:p w14:paraId="779D928F" w14:textId="77777777" w:rsidR="00CD27B4" w:rsidRPr="00C542BC" w:rsidRDefault="00CD27B4" w:rsidP="00CD27B4">
            <w:pPr>
              <w:rPr>
                <w:b/>
                <w:bCs/>
              </w:rPr>
            </w:pPr>
          </w:p>
        </w:tc>
      </w:tr>
      <w:tr w:rsidR="00C542BC" w14:paraId="4DD3DE73" w14:textId="77777777" w:rsidTr="006A0B1B">
        <w:tc>
          <w:tcPr>
            <w:tcW w:w="2160" w:type="dxa"/>
          </w:tcPr>
          <w:p w14:paraId="3CEF2A02" w14:textId="53849AD8" w:rsidR="00C542BC" w:rsidRPr="00C542BC" w:rsidRDefault="00C542BC" w:rsidP="00C542BC">
            <w:pPr>
              <w:rPr>
                <w:b/>
                <w:bCs/>
              </w:rPr>
            </w:pPr>
            <w:r w:rsidRPr="00C542BC">
              <w:rPr>
                <w:b/>
                <w:bCs/>
              </w:rPr>
              <w:lastRenderedPageBreak/>
              <w:t>Item 8</w:t>
            </w:r>
          </w:p>
          <w:p w14:paraId="3E2B5456" w14:textId="77777777" w:rsidR="00C542BC" w:rsidRPr="00C542BC" w:rsidRDefault="00C542BC" w:rsidP="00C542BC">
            <w:pPr>
              <w:rPr>
                <w:b/>
                <w:bCs/>
              </w:rPr>
            </w:pPr>
          </w:p>
        </w:tc>
        <w:tc>
          <w:tcPr>
            <w:tcW w:w="7650" w:type="dxa"/>
          </w:tcPr>
          <w:p w14:paraId="0918D80E" w14:textId="77777777" w:rsidR="00C542BC" w:rsidRPr="00C542BC" w:rsidRDefault="00C542BC" w:rsidP="00C542BC">
            <w:pPr>
              <w:pStyle w:val="Heading2"/>
              <w:rPr>
                <w:sz w:val="22"/>
                <w:szCs w:val="22"/>
              </w:rPr>
            </w:pPr>
            <w:r w:rsidRPr="00C542BC">
              <w:rPr>
                <w:sz w:val="22"/>
                <w:szCs w:val="22"/>
              </w:rPr>
              <w:t>Reports and Ratios</w:t>
            </w:r>
          </w:p>
          <w:p w14:paraId="192534E8" w14:textId="367289B0" w:rsidR="00C542BC" w:rsidRPr="00C542BC" w:rsidRDefault="00C542BC" w:rsidP="00C542BC">
            <w:r w:rsidRPr="00C542BC">
              <w:t>Vice President Bennett present</w:t>
            </w:r>
            <w:r w:rsidR="00A5090A">
              <w:t>ed</w:t>
            </w:r>
            <w:r w:rsidRPr="00C542BC">
              <w:t xml:space="preserve"> the following quarterly and annual financial reports:</w:t>
            </w:r>
          </w:p>
          <w:p w14:paraId="02B13E4A" w14:textId="77777777" w:rsidR="006B68E3" w:rsidRDefault="00C542BC" w:rsidP="00C542BC">
            <w:pPr>
              <w:pStyle w:val="ListParagraph"/>
              <w:numPr>
                <w:ilvl w:val="0"/>
                <w:numId w:val="2"/>
              </w:numPr>
            </w:pPr>
            <w:r w:rsidRPr="00C542BC">
              <w:t>Treasurer’s Report</w:t>
            </w:r>
            <w:r w:rsidR="00A5090A">
              <w:t xml:space="preserve"> </w:t>
            </w:r>
          </w:p>
          <w:p w14:paraId="436B5503" w14:textId="45BFFA97" w:rsidR="00C542BC" w:rsidRDefault="006E4E31" w:rsidP="006B68E3">
            <w:pPr>
              <w:pStyle w:val="ListParagraph"/>
              <w:numPr>
                <w:ilvl w:val="1"/>
                <w:numId w:val="2"/>
              </w:numPr>
            </w:pPr>
            <w:r>
              <w:t xml:space="preserve">As of </w:t>
            </w:r>
            <w:r w:rsidR="00C56E1D">
              <w:t xml:space="preserve">September 30, </w:t>
            </w:r>
            <w:r w:rsidR="00632136">
              <w:t>2023,</w:t>
            </w:r>
            <w:r w:rsidR="00C56E1D">
              <w:t xml:space="preserve"> there was a net cash balance of </w:t>
            </w:r>
            <w:r w:rsidR="00BF761C">
              <w:t>$186M and investments of $187.5M</w:t>
            </w:r>
          </w:p>
          <w:p w14:paraId="7D920443" w14:textId="5741626F" w:rsidR="006B68E3" w:rsidRDefault="00AB3E76" w:rsidP="006B68E3">
            <w:pPr>
              <w:pStyle w:val="ListParagraph"/>
              <w:numPr>
                <w:ilvl w:val="1"/>
                <w:numId w:val="2"/>
              </w:numPr>
            </w:pPr>
            <w:r>
              <w:t xml:space="preserve">Investment returns in the short term are ahead of the benchmarks, </w:t>
            </w:r>
            <w:r w:rsidR="00196243">
              <w:t>and the three-year return</w:t>
            </w:r>
            <w:r w:rsidR="006E6951">
              <w:t>s are overall within benchmarks with</w:t>
            </w:r>
            <w:r w:rsidR="00196243">
              <w:t xml:space="preserve"> some that are lower, but no reason for concern. </w:t>
            </w:r>
          </w:p>
          <w:p w14:paraId="4EE28056" w14:textId="76CF84D0" w:rsidR="00455283" w:rsidRPr="00C542BC" w:rsidRDefault="00455283" w:rsidP="006B68E3">
            <w:pPr>
              <w:pStyle w:val="ListParagraph"/>
              <w:numPr>
                <w:ilvl w:val="1"/>
                <w:numId w:val="2"/>
              </w:numPr>
            </w:pPr>
            <w:r>
              <w:t>Debt is at $109.4M</w:t>
            </w:r>
            <w:r w:rsidR="00860BF0">
              <w:t xml:space="preserve">, with an uptick forthcoming due to the </w:t>
            </w:r>
            <w:r w:rsidR="00E558D7">
              <w:t>h</w:t>
            </w:r>
            <w:r w:rsidR="00860BF0">
              <w:t xml:space="preserve">ousing </w:t>
            </w:r>
            <w:r w:rsidR="00E558D7">
              <w:t xml:space="preserve">project. </w:t>
            </w:r>
          </w:p>
          <w:p w14:paraId="32A52711" w14:textId="77777777" w:rsidR="00E12D50" w:rsidRDefault="00C542BC" w:rsidP="00FE29E9">
            <w:pPr>
              <w:pStyle w:val="ListParagraph"/>
              <w:numPr>
                <w:ilvl w:val="0"/>
                <w:numId w:val="2"/>
              </w:numPr>
            </w:pPr>
            <w:r w:rsidRPr="00C542BC">
              <w:t>Capital Projects and Change Orders Quarterly Report</w:t>
            </w:r>
          </w:p>
          <w:p w14:paraId="295813B1" w14:textId="1467A4D3" w:rsidR="00E12D50" w:rsidRDefault="00C06845" w:rsidP="00E12D50">
            <w:pPr>
              <w:pStyle w:val="ListParagraph"/>
              <w:numPr>
                <w:ilvl w:val="1"/>
                <w:numId w:val="2"/>
              </w:numPr>
            </w:pPr>
            <w:r>
              <w:t>Many projects have been completed</w:t>
            </w:r>
            <w:r w:rsidR="00C07EBB">
              <w:t xml:space="preserve"> and more </w:t>
            </w:r>
            <w:r w:rsidR="00FF3E32">
              <w:t>will</w:t>
            </w:r>
            <w:r w:rsidR="00C07EBB">
              <w:t xml:space="preserve"> be completed </w:t>
            </w:r>
            <w:r w:rsidR="003010E3">
              <w:t xml:space="preserve">within this fiscal year. </w:t>
            </w:r>
          </w:p>
          <w:p w14:paraId="29C00218" w14:textId="5B794083" w:rsidR="003010E3" w:rsidRDefault="00843F8C" w:rsidP="00E12D50">
            <w:pPr>
              <w:pStyle w:val="ListParagraph"/>
              <w:numPr>
                <w:ilvl w:val="1"/>
                <w:numId w:val="2"/>
              </w:numPr>
            </w:pPr>
            <w:r>
              <w:t xml:space="preserve">The </w:t>
            </w:r>
            <w:r w:rsidR="00D61946">
              <w:t xml:space="preserve">Boathouse improvement project is </w:t>
            </w:r>
            <w:r w:rsidR="00A943D3">
              <w:t>complete,</w:t>
            </w:r>
            <w:r w:rsidR="00D61946">
              <w:t xml:space="preserve"> and </w:t>
            </w:r>
            <w:r w:rsidR="009D1F52">
              <w:t>it is</w:t>
            </w:r>
            <w:r w:rsidR="00D61946">
              <w:t xml:space="preserve"> back open</w:t>
            </w:r>
            <w:r w:rsidR="00F661B4">
              <w:t xml:space="preserve"> and doing well. </w:t>
            </w:r>
          </w:p>
          <w:p w14:paraId="34B5B35F" w14:textId="7A876AEC" w:rsidR="00F661B4" w:rsidRDefault="00A943D3" w:rsidP="00E12D50">
            <w:pPr>
              <w:pStyle w:val="ListParagraph"/>
              <w:numPr>
                <w:ilvl w:val="1"/>
                <w:numId w:val="2"/>
              </w:numPr>
            </w:pPr>
            <w:r>
              <w:t xml:space="preserve">Associate Vice President </w:t>
            </w:r>
            <w:r w:rsidR="00F661B4">
              <w:t xml:space="preserve">Hale reported the Master Plan </w:t>
            </w:r>
            <w:r w:rsidR="003356C8">
              <w:t xml:space="preserve">is </w:t>
            </w:r>
            <w:r w:rsidR="009D1F52">
              <w:t>r</w:t>
            </w:r>
            <w:r w:rsidR="003356C8">
              <w:t xml:space="preserve">equired </w:t>
            </w:r>
            <w:r w:rsidR="009D1F52">
              <w:t xml:space="preserve">by statutes </w:t>
            </w:r>
            <w:r w:rsidR="003356C8">
              <w:t xml:space="preserve">to be </w:t>
            </w:r>
            <w:r w:rsidR="000E0CC5">
              <w:t>update</w:t>
            </w:r>
            <w:r w:rsidR="003356C8">
              <w:t>d</w:t>
            </w:r>
            <w:r w:rsidR="000E0CC5">
              <w:t xml:space="preserve"> every five years and</w:t>
            </w:r>
            <w:r w:rsidR="005F0CDE">
              <w:t xml:space="preserve"> </w:t>
            </w:r>
            <w:r w:rsidR="001742D6">
              <w:t>the</w:t>
            </w:r>
            <w:r w:rsidR="001B6799">
              <w:t xml:space="preserve"> search for a consultant planner is in process. </w:t>
            </w:r>
            <w:r w:rsidR="0039179D">
              <w:t xml:space="preserve">The revision </w:t>
            </w:r>
            <w:r w:rsidR="0039179D">
              <w:lastRenderedPageBreak/>
              <w:t xml:space="preserve">will take approximately one </w:t>
            </w:r>
            <w:r w:rsidR="005B6FBE">
              <w:t>year,</w:t>
            </w:r>
            <w:r w:rsidR="0039179D">
              <w:t xml:space="preserve"> and </w:t>
            </w:r>
            <w:r w:rsidR="005B6FBE">
              <w:t xml:space="preserve">plans </w:t>
            </w:r>
            <w:r w:rsidR="00843F8C">
              <w:t>are</w:t>
            </w:r>
            <w:r w:rsidR="00602FC3">
              <w:t xml:space="preserve"> to present it at the Spring 2025 Board meeting</w:t>
            </w:r>
            <w:r w:rsidR="00AA7887">
              <w:t xml:space="preserve">. </w:t>
            </w:r>
          </w:p>
          <w:p w14:paraId="02DA980A" w14:textId="6A3C9ECE" w:rsidR="00C542BC" w:rsidRPr="00AA7887" w:rsidRDefault="00C542BC" w:rsidP="00FE29E9">
            <w:pPr>
              <w:pStyle w:val="ListParagraph"/>
              <w:numPr>
                <w:ilvl w:val="0"/>
                <w:numId w:val="2"/>
              </w:numPr>
            </w:pPr>
            <w:r w:rsidRPr="00E12D50">
              <w:rPr>
                <w:color w:val="000000"/>
              </w:rPr>
              <w:t>Budget Report</w:t>
            </w:r>
          </w:p>
          <w:p w14:paraId="732910E7" w14:textId="3ACF897B" w:rsidR="00700DA3" w:rsidRDefault="006871BB" w:rsidP="00AA7887">
            <w:pPr>
              <w:pStyle w:val="ListParagraph"/>
              <w:numPr>
                <w:ilvl w:val="1"/>
                <w:numId w:val="2"/>
              </w:numPr>
            </w:pPr>
            <w:r>
              <w:t xml:space="preserve">The final </w:t>
            </w:r>
            <w:r w:rsidR="001A3ABA">
              <w:t xml:space="preserve">E&amp;G </w:t>
            </w:r>
            <w:r>
              <w:t xml:space="preserve">year-end actuals were reported </w:t>
            </w:r>
            <w:r w:rsidR="001A3ABA">
              <w:t>at</w:t>
            </w:r>
            <w:r>
              <w:t xml:space="preserve"> </w:t>
            </w:r>
            <w:r w:rsidR="00135CF4">
              <w:t xml:space="preserve">99.1% of </w:t>
            </w:r>
            <w:r w:rsidR="007334CC">
              <w:t xml:space="preserve">total </w:t>
            </w:r>
            <w:r w:rsidR="00F408B3">
              <w:t xml:space="preserve">projected </w:t>
            </w:r>
            <w:r w:rsidR="00135CF4">
              <w:t xml:space="preserve">revenues </w:t>
            </w:r>
            <w:r w:rsidR="00F408B3">
              <w:t>collected</w:t>
            </w:r>
            <w:r w:rsidR="0005104F">
              <w:t xml:space="preserve">, with tuition and fees coming in </w:t>
            </w:r>
            <w:r w:rsidR="00FA7564">
              <w:t xml:space="preserve">just under projections at </w:t>
            </w:r>
            <w:r w:rsidR="00D761C1">
              <w:t>97%.</w:t>
            </w:r>
          </w:p>
          <w:p w14:paraId="5BDD6011" w14:textId="39D5A6D2" w:rsidR="007E5863" w:rsidRDefault="00700DA3" w:rsidP="00AA7887">
            <w:pPr>
              <w:pStyle w:val="ListParagraph"/>
              <w:numPr>
                <w:ilvl w:val="1"/>
                <w:numId w:val="2"/>
              </w:numPr>
            </w:pPr>
            <w:r>
              <w:t>Expense tota</w:t>
            </w:r>
            <w:r w:rsidR="00C602B6">
              <w:t xml:space="preserve">ls were </w:t>
            </w:r>
            <w:r w:rsidR="00C2571A">
              <w:t xml:space="preserve">below 90% which </w:t>
            </w:r>
            <w:r w:rsidR="005C1748">
              <w:t>left a balance to</w:t>
            </w:r>
            <w:r w:rsidR="00C2571A">
              <w:t xml:space="preserve"> roll</w:t>
            </w:r>
            <w:r w:rsidR="005C1748">
              <w:t xml:space="preserve"> </w:t>
            </w:r>
            <w:r w:rsidR="00C2571A">
              <w:t xml:space="preserve">funds </w:t>
            </w:r>
            <w:r w:rsidR="005C1748">
              <w:t>in</w:t>
            </w:r>
            <w:r w:rsidR="001A3ABA">
              <w:t xml:space="preserve"> to</w:t>
            </w:r>
            <w:r w:rsidR="00C2571A">
              <w:t xml:space="preserve"> carry-forward</w:t>
            </w:r>
            <w:r w:rsidR="002363ED">
              <w:t xml:space="preserve"> for fiscal year 2024</w:t>
            </w:r>
            <w:r w:rsidR="005C1748">
              <w:t>.</w:t>
            </w:r>
          </w:p>
          <w:p w14:paraId="5FAFD127" w14:textId="3FAF5B7A" w:rsidR="00AA7887" w:rsidRPr="00C542BC" w:rsidRDefault="00A74357" w:rsidP="008D2131">
            <w:pPr>
              <w:pStyle w:val="ListParagraph"/>
              <w:numPr>
                <w:ilvl w:val="1"/>
                <w:numId w:val="2"/>
              </w:numPr>
            </w:pPr>
            <w:r>
              <w:t xml:space="preserve">The total auxiliary budget </w:t>
            </w:r>
            <w:r w:rsidR="00333CFE">
              <w:t>began with a $75M fund balance and ended</w:t>
            </w:r>
            <w:r w:rsidR="009608D9">
              <w:t xml:space="preserve"> at $71M. Most auxiliaries </w:t>
            </w:r>
            <w:r w:rsidR="00CE253B">
              <w:t xml:space="preserve">started using cash on hand </w:t>
            </w:r>
            <w:r w:rsidR="001A3ABA">
              <w:t>this year</w:t>
            </w:r>
            <w:r w:rsidR="008D2131">
              <w:t>.</w:t>
            </w:r>
          </w:p>
          <w:p w14:paraId="17076425" w14:textId="77777777" w:rsidR="00C542BC" w:rsidRPr="00373B99" w:rsidRDefault="00C542BC" w:rsidP="00C542BC">
            <w:pPr>
              <w:pStyle w:val="ListParagraph"/>
              <w:numPr>
                <w:ilvl w:val="0"/>
                <w:numId w:val="2"/>
              </w:numPr>
            </w:pPr>
            <w:r w:rsidRPr="00C542BC">
              <w:rPr>
                <w:color w:val="000000"/>
              </w:rPr>
              <w:t>Ratios</w:t>
            </w:r>
          </w:p>
          <w:p w14:paraId="22C3B110" w14:textId="28505624" w:rsidR="00373B99" w:rsidRDefault="00E4103F" w:rsidP="00373B99">
            <w:pPr>
              <w:pStyle w:val="ListParagraph"/>
              <w:numPr>
                <w:ilvl w:val="1"/>
                <w:numId w:val="2"/>
              </w:numPr>
            </w:pPr>
            <w:r>
              <w:t xml:space="preserve">Ratios are calculated after </w:t>
            </w:r>
            <w:r w:rsidR="00F94A0F">
              <w:t xml:space="preserve">the </w:t>
            </w:r>
            <w:r>
              <w:t>Financial Statement is submitted</w:t>
            </w:r>
            <w:r w:rsidR="000F6440">
              <w:t xml:space="preserve">. </w:t>
            </w:r>
            <w:r w:rsidR="00F94A0F">
              <w:t>A c</w:t>
            </w:r>
            <w:r w:rsidR="008A5C45">
              <w:t xml:space="preserve">omparison to other universities </w:t>
            </w:r>
            <w:r w:rsidR="00CF5D96">
              <w:t>will not</w:t>
            </w:r>
            <w:r w:rsidR="008A5C45">
              <w:t xml:space="preserve"> be available until </w:t>
            </w:r>
            <w:r w:rsidR="00672F4A">
              <w:t xml:space="preserve">after the beginning of the year. </w:t>
            </w:r>
          </w:p>
          <w:p w14:paraId="55A47DE0" w14:textId="45551AAE" w:rsidR="00994F9D" w:rsidRDefault="00994F9D" w:rsidP="00373B99">
            <w:pPr>
              <w:pStyle w:val="ListParagraph"/>
              <w:numPr>
                <w:ilvl w:val="1"/>
                <w:numId w:val="2"/>
              </w:numPr>
            </w:pPr>
            <w:r>
              <w:t xml:space="preserve">The </w:t>
            </w:r>
            <w:r w:rsidR="007411B4">
              <w:t>C</w:t>
            </w:r>
            <w:r>
              <w:t xml:space="preserve">urrent and </w:t>
            </w:r>
            <w:r w:rsidR="007411B4">
              <w:t>Q</w:t>
            </w:r>
            <w:r>
              <w:t xml:space="preserve">uick </w:t>
            </w:r>
            <w:r w:rsidR="007411B4">
              <w:t>R</w:t>
            </w:r>
            <w:r>
              <w:t xml:space="preserve">atios </w:t>
            </w:r>
            <w:r w:rsidR="00864CB0">
              <w:t>reflect</w:t>
            </w:r>
            <w:r w:rsidR="001D45B0">
              <w:t>s</w:t>
            </w:r>
            <w:r w:rsidR="00864CB0">
              <w:t xml:space="preserve"> the liquidity of current assets and current liabilities</w:t>
            </w:r>
            <w:r w:rsidR="00454167">
              <w:t xml:space="preserve"> and UNF does </w:t>
            </w:r>
            <w:r w:rsidR="00917DC1">
              <w:t xml:space="preserve">very well on those measures. 2023 </w:t>
            </w:r>
            <w:r w:rsidR="00F05181">
              <w:t>came in a</w:t>
            </w:r>
            <w:r w:rsidR="000525A6">
              <w:t xml:space="preserve"> little lower</w:t>
            </w:r>
            <w:r w:rsidR="00917DC1">
              <w:t xml:space="preserve"> than previous years </w:t>
            </w:r>
            <w:r w:rsidR="00C91D5D">
              <w:t xml:space="preserve">at 12.24, </w:t>
            </w:r>
            <w:r w:rsidR="008E3239">
              <w:t xml:space="preserve">due to </w:t>
            </w:r>
            <w:r w:rsidR="007A5F86">
              <w:t xml:space="preserve">federal COVID money flowing through </w:t>
            </w:r>
            <w:r w:rsidR="00DD3BF5">
              <w:t xml:space="preserve">resulting in higher numbers </w:t>
            </w:r>
            <w:r w:rsidR="005C425F">
              <w:t xml:space="preserve">and </w:t>
            </w:r>
            <w:r w:rsidR="007411B4">
              <w:t xml:space="preserve">a slight distortion of </w:t>
            </w:r>
            <w:r w:rsidR="00173DCD">
              <w:t>c</w:t>
            </w:r>
            <w:r w:rsidR="005C425F">
              <w:t xml:space="preserve">ash balances </w:t>
            </w:r>
            <w:r w:rsidR="00DD3BF5">
              <w:t>for a couple of years</w:t>
            </w:r>
            <w:r w:rsidR="007411B4">
              <w:t>.</w:t>
            </w:r>
            <w:r w:rsidR="00DD3BF5">
              <w:t xml:space="preserve"> </w:t>
            </w:r>
          </w:p>
          <w:p w14:paraId="59DFA205" w14:textId="2D57ECDB" w:rsidR="00601898" w:rsidRDefault="004731DB" w:rsidP="00373B99">
            <w:pPr>
              <w:pStyle w:val="ListParagraph"/>
              <w:numPr>
                <w:ilvl w:val="1"/>
                <w:numId w:val="2"/>
              </w:numPr>
            </w:pPr>
            <w:r>
              <w:t xml:space="preserve">The </w:t>
            </w:r>
            <w:r w:rsidR="007411B4">
              <w:t>T</w:t>
            </w:r>
            <w:r>
              <w:t xml:space="preserve">uition </w:t>
            </w:r>
            <w:r w:rsidR="007411B4">
              <w:t>C</w:t>
            </w:r>
            <w:r>
              <w:t xml:space="preserve">ontribution </w:t>
            </w:r>
            <w:r w:rsidR="007411B4">
              <w:t>R</w:t>
            </w:r>
            <w:r>
              <w:t xml:space="preserve">atio </w:t>
            </w:r>
            <w:r w:rsidR="007411B4">
              <w:t xml:space="preserve">calculates the </w:t>
            </w:r>
            <w:r w:rsidR="00FE7673">
              <w:t xml:space="preserve">tuition and fees </w:t>
            </w:r>
            <w:r w:rsidR="007411B4">
              <w:t xml:space="preserve">revenue </w:t>
            </w:r>
            <w:r w:rsidR="003B4D02">
              <w:t xml:space="preserve">divided by the total operating expenses </w:t>
            </w:r>
            <w:r w:rsidR="00D156AA">
              <w:t xml:space="preserve">to </w:t>
            </w:r>
            <w:r w:rsidR="00172AB7">
              <w:t>determine</w:t>
            </w:r>
            <w:r w:rsidR="00EC2C07">
              <w:t xml:space="preserve"> what our reliance is on tuition to pay our bills. </w:t>
            </w:r>
            <w:r w:rsidR="00521CAF">
              <w:t xml:space="preserve">Each university has their own unique model, so this </w:t>
            </w:r>
            <w:r w:rsidR="00F46471">
              <w:t xml:space="preserve">ratio is difficult to compare to other institutions. </w:t>
            </w:r>
          </w:p>
          <w:p w14:paraId="63C3E93D" w14:textId="505617C6" w:rsidR="00AB6755" w:rsidRPr="00C542BC" w:rsidRDefault="00AB6755" w:rsidP="00373B99">
            <w:pPr>
              <w:pStyle w:val="ListParagraph"/>
              <w:numPr>
                <w:ilvl w:val="1"/>
                <w:numId w:val="2"/>
              </w:numPr>
            </w:pPr>
            <w:r>
              <w:t xml:space="preserve">The Defensive Interval </w:t>
            </w:r>
            <w:r w:rsidR="00033A7D">
              <w:t>is another liquidity ratio measuring cash on hand</w:t>
            </w:r>
            <w:r w:rsidR="002E11ED">
              <w:t xml:space="preserve"> </w:t>
            </w:r>
            <w:r w:rsidR="009E64E9">
              <w:t xml:space="preserve">and </w:t>
            </w:r>
            <w:r w:rsidR="00515C0E">
              <w:t>shows</w:t>
            </w:r>
            <w:r w:rsidR="009E64E9">
              <w:t xml:space="preserve"> that UNF can </w:t>
            </w:r>
            <w:r w:rsidR="002107DD">
              <w:t xml:space="preserve">pay bills for 134 days </w:t>
            </w:r>
            <w:r w:rsidR="007F1803">
              <w:t xml:space="preserve">without any </w:t>
            </w:r>
            <w:r w:rsidR="00A524DA">
              <w:t>other funds</w:t>
            </w:r>
            <w:r w:rsidR="007F1803">
              <w:t xml:space="preserve"> coming in</w:t>
            </w:r>
            <w:r w:rsidR="00777253">
              <w:t xml:space="preserve">. </w:t>
            </w:r>
          </w:p>
          <w:p w14:paraId="77BDF7AF" w14:textId="77777777" w:rsidR="00C542BC" w:rsidRPr="00C542BC" w:rsidRDefault="00C542BC" w:rsidP="002E11ED">
            <w:pPr>
              <w:rPr>
                <w:b/>
                <w:bCs/>
              </w:rPr>
            </w:pPr>
          </w:p>
        </w:tc>
      </w:tr>
      <w:tr w:rsidR="00C542BC" w14:paraId="4B05CE61" w14:textId="77777777" w:rsidTr="006A0B1B">
        <w:tc>
          <w:tcPr>
            <w:tcW w:w="2160" w:type="dxa"/>
          </w:tcPr>
          <w:p w14:paraId="77FDABAC" w14:textId="0E5D391E" w:rsidR="00C542BC" w:rsidRPr="00C542BC" w:rsidRDefault="00C542BC" w:rsidP="00C542BC">
            <w:pPr>
              <w:rPr>
                <w:b/>
                <w:bCs/>
              </w:rPr>
            </w:pPr>
            <w:r w:rsidRPr="00C542BC">
              <w:rPr>
                <w:b/>
                <w:bCs/>
              </w:rPr>
              <w:lastRenderedPageBreak/>
              <w:t>Item 9</w:t>
            </w:r>
          </w:p>
        </w:tc>
        <w:tc>
          <w:tcPr>
            <w:tcW w:w="7650" w:type="dxa"/>
          </w:tcPr>
          <w:p w14:paraId="57B2A9FE" w14:textId="2A11B54E" w:rsidR="00C542BC" w:rsidRPr="00C542BC" w:rsidRDefault="00C542BC" w:rsidP="00C542BC">
            <w:pPr>
              <w:spacing w:line="259" w:lineRule="auto"/>
            </w:pPr>
            <w:r w:rsidRPr="00C542BC">
              <w:rPr>
                <w:b/>
                <w:bCs/>
              </w:rPr>
              <w:t>Review of Finance and Facilities Committee Annual Work Plan</w:t>
            </w:r>
            <w:r w:rsidRPr="00C542BC">
              <w:t xml:space="preserve"> </w:t>
            </w:r>
            <w:r w:rsidRPr="00C542BC">
              <w:br/>
            </w:r>
            <w:r w:rsidRPr="00C542BC">
              <w:rPr>
                <w:bCs/>
              </w:rPr>
              <w:t>Per the 2023-2026 Board of Trustee Action Plan for Continuing Performance Improvement, each committee develop</w:t>
            </w:r>
            <w:r w:rsidR="00B92DAA">
              <w:rPr>
                <w:bCs/>
              </w:rPr>
              <w:t>ed</w:t>
            </w:r>
            <w:r w:rsidRPr="00C542BC">
              <w:rPr>
                <w:bCs/>
              </w:rPr>
              <w:t xml:space="preserve"> an annual work plan based on the elements of the new strategic plan. </w:t>
            </w:r>
            <w:r w:rsidRPr="00C542BC">
              <w:t xml:space="preserve">Vice President Bennett </w:t>
            </w:r>
            <w:r w:rsidR="00180D09">
              <w:t>stated</w:t>
            </w:r>
            <w:r w:rsidR="00B92DAA">
              <w:t xml:space="preserve"> the Finance and Facilities </w:t>
            </w:r>
            <w:r w:rsidR="00180D09">
              <w:t xml:space="preserve">Workplan includes </w:t>
            </w:r>
            <w:r w:rsidR="00695A35">
              <w:t xml:space="preserve">action items and </w:t>
            </w:r>
            <w:r w:rsidR="0014379D">
              <w:t>information brought forth</w:t>
            </w:r>
            <w:r w:rsidR="00695A35">
              <w:t xml:space="preserve"> to the committee for approvals. The current plan </w:t>
            </w:r>
            <w:r w:rsidR="009E16C1">
              <w:t>sh</w:t>
            </w:r>
            <w:r w:rsidR="00047AC1">
              <w:t xml:space="preserve">ows </w:t>
            </w:r>
            <w:r w:rsidR="00585D92">
              <w:t>items</w:t>
            </w:r>
            <w:r w:rsidR="00047AC1">
              <w:t xml:space="preserve"> presented at the September meeting and those</w:t>
            </w:r>
            <w:r w:rsidR="00831C38">
              <w:t xml:space="preserve"> </w:t>
            </w:r>
            <w:r w:rsidR="00047AC1">
              <w:t xml:space="preserve">from </w:t>
            </w:r>
            <w:r w:rsidR="00510495">
              <w:t xml:space="preserve">the current meeting. The February meeting will </w:t>
            </w:r>
            <w:r w:rsidR="00006297">
              <w:t>include</w:t>
            </w:r>
            <w:r w:rsidR="00510495">
              <w:t xml:space="preserve"> the Educational Plant Survey which will be an important piec</w:t>
            </w:r>
            <w:r w:rsidR="00270184">
              <w:t xml:space="preserve">e, especially to the Master Plan. </w:t>
            </w:r>
          </w:p>
          <w:p w14:paraId="59AFDEDE" w14:textId="7AB83042" w:rsidR="00C542BC" w:rsidRPr="00C542BC" w:rsidRDefault="00C542BC" w:rsidP="00360A1D"/>
        </w:tc>
      </w:tr>
      <w:tr w:rsidR="00C542BC" w14:paraId="481431DF" w14:textId="77777777" w:rsidTr="006A0B1B">
        <w:tc>
          <w:tcPr>
            <w:tcW w:w="2160" w:type="dxa"/>
          </w:tcPr>
          <w:p w14:paraId="5409AE94" w14:textId="0681BA22" w:rsidR="00C542BC" w:rsidRPr="00C542BC" w:rsidRDefault="00C542BC" w:rsidP="00C542BC">
            <w:pPr>
              <w:rPr>
                <w:b/>
                <w:bCs/>
              </w:rPr>
            </w:pPr>
            <w:r w:rsidRPr="00C542BC">
              <w:rPr>
                <w:b/>
                <w:bCs/>
              </w:rPr>
              <w:lastRenderedPageBreak/>
              <w:t>Item 10</w:t>
            </w:r>
          </w:p>
          <w:p w14:paraId="127B4493" w14:textId="77777777" w:rsidR="00C542BC" w:rsidRPr="00C542BC" w:rsidRDefault="00C542BC" w:rsidP="00C542BC">
            <w:pPr>
              <w:rPr>
                <w:b/>
                <w:bCs/>
              </w:rPr>
            </w:pPr>
          </w:p>
        </w:tc>
        <w:tc>
          <w:tcPr>
            <w:tcW w:w="7650" w:type="dxa"/>
          </w:tcPr>
          <w:p w14:paraId="1E0288F5" w14:textId="2AF37DD9" w:rsidR="00C542BC" w:rsidRPr="00C542BC" w:rsidRDefault="00C542BC" w:rsidP="00C542BC">
            <w:pPr>
              <w:pStyle w:val="Heading2"/>
              <w:rPr>
                <w:sz w:val="22"/>
                <w:szCs w:val="22"/>
              </w:rPr>
            </w:pPr>
            <w:r w:rsidRPr="00C542BC">
              <w:rPr>
                <w:sz w:val="22"/>
                <w:szCs w:val="22"/>
              </w:rPr>
              <w:t>Administration and Finance Update by Vice President Bennett</w:t>
            </w:r>
          </w:p>
          <w:p w14:paraId="57FACABF" w14:textId="78B21333" w:rsidR="00C542BC" w:rsidRDefault="00831C38" w:rsidP="00C542BC">
            <w:r>
              <w:t xml:space="preserve">Vice President Bennett </w:t>
            </w:r>
            <w:r w:rsidR="0026312B">
              <w:t xml:space="preserve">gave an </w:t>
            </w:r>
            <w:r w:rsidR="00503B79">
              <w:t xml:space="preserve">update on </w:t>
            </w:r>
            <w:r w:rsidR="0056774A">
              <w:t>several</w:t>
            </w:r>
            <w:r w:rsidR="00503B79">
              <w:t xml:space="preserve"> Administration and Finance topics. </w:t>
            </w:r>
          </w:p>
          <w:p w14:paraId="6C2E675D" w14:textId="13FAA395" w:rsidR="0056774A" w:rsidRDefault="00007465" w:rsidP="0056774A">
            <w:pPr>
              <w:pStyle w:val="ListParagraph"/>
              <w:numPr>
                <w:ilvl w:val="0"/>
                <w:numId w:val="5"/>
              </w:numPr>
            </w:pPr>
            <w:r>
              <w:t>Bonds for the Honors Housing project were issued</w:t>
            </w:r>
            <w:r w:rsidR="007C3A8F">
              <w:t xml:space="preserve"> totaling $80.9M for a </w:t>
            </w:r>
            <w:r w:rsidR="00A83C8D">
              <w:t>30-year</w:t>
            </w:r>
            <w:r w:rsidR="007C3A8F">
              <w:t xml:space="preserve"> issuance at 5%</w:t>
            </w:r>
            <w:r w:rsidR="00A83C8D">
              <w:t>. Construction will begin in December and</w:t>
            </w:r>
            <w:r w:rsidR="000748DF">
              <w:t xml:space="preserve"> is</w:t>
            </w:r>
            <w:r w:rsidR="00C06353">
              <w:t xml:space="preserve"> </w:t>
            </w:r>
            <w:r w:rsidR="00A83C8D">
              <w:t xml:space="preserve">scheduled for completion in Fall 2025. </w:t>
            </w:r>
          </w:p>
          <w:p w14:paraId="5CEF52D9" w14:textId="092D6E27" w:rsidR="00A83C8D" w:rsidRDefault="006F40BA" w:rsidP="00BE379F">
            <w:pPr>
              <w:pStyle w:val="ListParagraph"/>
              <w:numPr>
                <w:ilvl w:val="1"/>
                <w:numId w:val="5"/>
              </w:numPr>
            </w:pPr>
            <w:r>
              <w:t xml:space="preserve">Results from three rating agencies came back with all A’s. </w:t>
            </w:r>
          </w:p>
          <w:p w14:paraId="2A013414" w14:textId="10048D5B" w:rsidR="00FF1206" w:rsidRDefault="00D62132" w:rsidP="00FF1206">
            <w:pPr>
              <w:pStyle w:val="ListParagraph"/>
              <w:numPr>
                <w:ilvl w:val="0"/>
                <w:numId w:val="5"/>
              </w:numPr>
            </w:pPr>
            <w:r>
              <w:t>The search for the Assista</w:t>
            </w:r>
            <w:r w:rsidR="00CD3DB9">
              <w:t>nt</w:t>
            </w:r>
            <w:r>
              <w:t xml:space="preserve"> Vice President and Chief Human Resource Officer</w:t>
            </w:r>
            <w:r w:rsidR="00457410">
              <w:t xml:space="preserve"> has concluded</w:t>
            </w:r>
            <w:r w:rsidR="006C31AE">
              <w:t xml:space="preserve">. </w:t>
            </w:r>
            <w:r w:rsidR="00457410">
              <w:t xml:space="preserve">Julian Carter </w:t>
            </w:r>
            <w:r w:rsidR="006C31AE">
              <w:t xml:space="preserve">will begin </w:t>
            </w:r>
            <w:r w:rsidR="00457410">
              <w:t xml:space="preserve">January 4, 2024. </w:t>
            </w:r>
            <w:r w:rsidR="006F1DC8">
              <w:t>His</w:t>
            </w:r>
            <w:r w:rsidR="00BB39C5">
              <w:t xml:space="preserve"> previous </w:t>
            </w:r>
            <w:r w:rsidR="006B2122">
              <w:t xml:space="preserve">experience </w:t>
            </w:r>
            <w:proofErr w:type="gramStart"/>
            <w:r w:rsidR="006F1DC8">
              <w:t>includes</w:t>
            </w:r>
            <w:r w:rsidR="000748DF">
              <w:t>:</w:t>
            </w:r>
            <w:proofErr w:type="gramEnd"/>
            <w:r w:rsidR="006F1DC8">
              <w:t xml:space="preserve"> </w:t>
            </w:r>
            <w:r w:rsidR="00BB39C5">
              <w:t>v</w:t>
            </w:r>
            <w:r w:rsidR="006B2122">
              <w:t xml:space="preserve">ice </w:t>
            </w:r>
            <w:r w:rsidR="00BB39C5">
              <w:t>p</w:t>
            </w:r>
            <w:r w:rsidR="006B2122">
              <w:t xml:space="preserve">resident </w:t>
            </w:r>
            <w:r w:rsidR="006F1DC8">
              <w:t>at</w:t>
            </w:r>
            <w:r w:rsidR="006B2122">
              <w:t xml:space="preserve"> Tufts University</w:t>
            </w:r>
            <w:r w:rsidR="00BB39C5">
              <w:t>;</w:t>
            </w:r>
            <w:r w:rsidR="006B2122">
              <w:t xml:space="preserve"> </w:t>
            </w:r>
            <w:r w:rsidR="00BB39C5">
              <w:t>associate vice president at the University of Texas at Austin and at Louisville;</w:t>
            </w:r>
            <w:r w:rsidR="0030120B">
              <w:t xml:space="preserve"> </w:t>
            </w:r>
            <w:r w:rsidR="006C31AE">
              <w:t xml:space="preserve">he </w:t>
            </w:r>
            <w:r w:rsidR="0030120B">
              <w:t xml:space="preserve">served as a commissioner of employee relations </w:t>
            </w:r>
            <w:r w:rsidR="00697345">
              <w:t>on the State of Minnesota Governor’s Cabinet;</w:t>
            </w:r>
            <w:r w:rsidR="00BB39C5">
              <w:t xml:space="preserve"> and </w:t>
            </w:r>
            <w:r w:rsidR="006F1DC8">
              <w:t xml:space="preserve">he </w:t>
            </w:r>
            <w:r w:rsidR="00080A74">
              <w:t xml:space="preserve">most recently </w:t>
            </w:r>
            <w:r w:rsidR="00793C50">
              <w:t>worked at</w:t>
            </w:r>
            <w:r w:rsidR="00080A74">
              <w:t xml:space="preserve"> American University in </w:t>
            </w:r>
            <w:r w:rsidR="006F1DC8">
              <w:t>Dubai</w:t>
            </w:r>
            <w:r w:rsidR="00BB4F3D">
              <w:t xml:space="preserve">. </w:t>
            </w:r>
          </w:p>
          <w:p w14:paraId="319896DE" w14:textId="08623571" w:rsidR="00793C50" w:rsidRPr="00831C38" w:rsidRDefault="009544FA" w:rsidP="00FF1206">
            <w:pPr>
              <w:pStyle w:val="ListParagraph"/>
              <w:numPr>
                <w:ilvl w:val="0"/>
                <w:numId w:val="5"/>
              </w:numPr>
            </w:pPr>
            <w:r>
              <w:t xml:space="preserve">A </w:t>
            </w:r>
            <w:r w:rsidR="002F0CED">
              <w:t>Request for Proposal (RFP)</w:t>
            </w:r>
            <w:r w:rsidR="00D74E20">
              <w:t xml:space="preserve"> will be</w:t>
            </w:r>
            <w:r w:rsidR="00FA5CC2">
              <w:t xml:space="preserve"> </w:t>
            </w:r>
            <w:r w:rsidR="00A50CB3">
              <w:t>issued</w:t>
            </w:r>
            <w:r w:rsidR="002F0CED">
              <w:t xml:space="preserve"> </w:t>
            </w:r>
            <w:r w:rsidR="0067458B">
              <w:t xml:space="preserve">in the next month </w:t>
            </w:r>
            <w:r w:rsidR="002F0CED">
              <w:t xml:space="preserve">for </w:t>
            </w:r>
            <w:r w:rsidR="00C61D5B">
              <w:t>the next phase of an additional</w:t>
            </w:r>
            <w:r w:rsidR="00D74E20">
              <w:t xml:space="preserve"> 1,000 bed</w:t>
            </w:r>
            <w:r w:rsidR="002F0CED">
              <w:t xml:space="preserve"> housing project </w:t>
            </w:r>
            <w:r w:rsidR="00A50CB3">
              <w:t>on foundation land</w:t>
            </w:r>
            <w:r w:rsidR="00EE18D5">
              <w:t>.</w:t>
            </w:r>
          </w:p>
          <w:p w14:paraId="1329DD1C" w14:textId="77777777" w:rsidR="00C542BC" w:rsidRPr="00C542BC" w:rsidRDefault="00C542BC" w:rsidP="00C542BC">
            <w:pPr>
              <w:rPr>
                <w:b/>
                <w:bCs/>
              </w:rPr>
            </w:pPr>
          </w:p>
        </w:tc>
      </w:tr>
      <w:tr w:rsidR="00C542BC" w14:paraId="4BA74D90" w14:textId="77777777" w:rsidTr="006A0B1B">
        <w:trPr>
          <w:trHeight w:val="342"/>
        </w:trPr>
        <w:tc>
          <w:tcPr>
            <w:tcW w:w="2160" w:type="dxa"/>
          </w:tcPr>
          <w:p w14:paraId="49CA026A" w14:textId="3C31C85A" w:rsidR="00C542BC" w:rsidRPr="00C542BC" w:rsidRDefault="00C542BC" w:rsidP="00C542BC">
            <w:pPr>
              <w:rPr>
                <w:b/>
                <w:bCs/>
              </w:rPr>
            </w:pPr>
            <w:r w:rsidRPr="00C542BC">
              <w:rPr>
                <w:b/>
                <w:bCs/>
              </w:rPr>
              <w:t>Item 11</w:t>
            </w:r>
          </w:p>
        </w:tc>
        <w:tc>
          <w:tcPr>
            <w:tcW w:w="7650" w:type="dxa"/>
          </w:tcPr>
          <w:p w14:paraId="33E0CAF4" w14:textId="77777777" w:rsidR="00C542BC" w:rsidRDefault="00C542BC" w:rsidP="00C542BC">
            <w:pPr>
              <w:rPr>
                <w:b/>
                <w:bCs/>
              </w:rPr>
            </w:pPr>
            <w:r w:rsidRPr="00C542BC">
              <w:rPr>
                <w:b/>
                <w:bCs/>
              </w:rPr>
              <w:t>Adjournment</w:t>
            </w:r>
          </w:p>
          <w:p w14:paraId="65CB8482" w14:textId="4230248D" w:rsidR="002C1E44" w:rsidRPr="005C2151" w:rsidRDefault="005C2151" w:rsidP="00C542BC">
            <w:r w:rsidRPr="005C2151">
              <w:t xml:space="preserve">Chair Gol adjourned the meeting at 1:18 </w:t>
            </w:r>
            <w:r w:rsidR="00EE18D5">
              <w:t>pm</w:t>
            </w:r>
            <w:r w:rsidR="00BE24FA">
              <w:t>.</w:t>
            </w:r>
          </w:p>
        </w:tc>
      </w:tr>
    </w:tbl>
    <w:p w14:paraId="6C575B16" w14:textId="77777777" w:rsidR="00BC454D" w:rsidRDefault="00BC454D" w:rsidP="00A11EAD"/>
    <w:sectPr w:rsidR="00BC454D" w:rsidSect="00A11EA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17EC" w14:textId="77777777" w:rsidR="00DE2190" w:rsidRDefault="00DE2190" w:rsidP="00BC454D">
      <w:pPr>
        <w:spacing w:line="240" w:lineRule="auto"/>
      </w:pPr>
      <w:r>
        <w:separator/>
      </w:r>
    </w:p>
  </w:endnote>
  <w:endnote w:type="continuationSeparator" w:id="0">
    <w:p w14:paraId="3EF39D96" w14:textId="77777777" w:rsidR="00DE2190" w:rsidRDefault="00DE2190" w:rsidP="00BC4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4ADA" w14:textId="77777777" w:rsidR="00DE2190" w:rsidRDefault="00DE2190" w:rsidP="00BC454D">
      <w:pPr>
        <w:spacing w:line="240" w:lineRule="auto"/>
      </w:pPr>
      <w:r>
        <w:separator/>
      </w:r>
    </w:p>
  </w:footnote>
  <w:footnote w:type="continuationSeparator" w:id="0">
    <w:p w14:paraId="785336A4" w14:textId="77777777" w:rsidR="00DE2190" w:rsidRDefault="00DE2190" w:rsidP="00BC45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7DD9" w14:textId="5FEAEAAA" w:rsidR="005662AB" w:rsidRPr="006032D5" w:rsidRDefault="006032D5" w:rsidP="006032D5">
    <w:pPr>
      <w:keepNext/>
      <w:keepLines/>
      <w:tabs>
        <w:tab w:val="left" w:pos="3960"/>
      </w:tabs>
      <w:spacing w:before="240"/>
      <w:jc w:val="center"/>
      <w:outlineLvl w:val="0"/>
      <w:rPr>
        <w:rFonts w:eastAsiaTheme="majorEastAsia" w:cstheme="majorBidi"/>
        <w:b/>
        <w:sz w:val="28"/>
        <w:szCs w:val="32"/>
      </w:rPr>
    </w:pPr>
    <w:sdt>
      <w:sdtPr>
        <w:rPr>
          <w:rFonts w:eastAsiaTheme="majorEastAsia" w:cstheme="majorBidi"/>
          <w:b/>
          <w:sz w:val="28"/>
          <w:szCs w:val="32"/>
        </w:rPr>
        <w:id w:val="695283541"/>
        <w:docPartObj>
          <w:docPartGallery w:val="Watermarks"/>
          <w:docPartUnique/>
        </w:docPartObj>
      </w:sdtPr>
      <w:sdtEndPr/>
      <w:sdtContent>
        <w:r>
          <w:rPr>
            <w:rFonts w:eastAsiaTheme="majorEastAsia" w:cstheme="majorBidi"/>
            <w:b/>
            <w:noProof/>
            <w:sz w:val="28"/>
            <w:szCs w:val="32"/>
          </w:rPr>
          <w:pict w14:anchorId="0B407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662AB" w:rsidRPr="00772D14">
      <w:rPr>
        <w:noProof/>
      </w:rPr>
      <w:drawing>
        <wp:inline distT="0" distB="0" distL="0" distR="0" wp14:anchorId="2F6D2C7F" wp14:editId="0A50D643">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8F2BB76" w14:textId="77777777" w:rsidR="005662AB" w:rsidRPr="00EE6280" w:rsidRDefault="005662AB" w:rsidP="006032D5">
    <w:pPr>
      <w:keepNext/>
      <w:keepLines/>
      <w:tabs>
        <w:tab w:val="left" w:pos="3960"/>
      </w:tabs>
      <w:spacing w:line="276" w:lineRule="auto"/>
      <w:jc w:val="center"/>
      <w:outlineLvl w:val="1"/>
      <w:rPr>
        <w:rFonts w:eastAsiaTheme="majorEastAsia" w:cstheme="majorBidi"/>
        <w:b/>
      </w:rPr>
    </w:pPr>
    <w:r w:rsidRPr="00EE6280">
      <w:rPr>
        <w:rFonts w:eastAsiaTheme="majorEastAsia" w:cstheme="majorBidi"/>
        <w:b/>
      </w:rPr>
      <w:t>Board of Trustees</w:t>
    </w:r>
  </w:p>
  <w:p w14:paraId="330E583D" w14:textId="77777777" w:rsidR="005662AB" w:rsidRPr="00EE6280" w:rsidRDefault="005662AB" w:rsidP="006032D5">
    <w:pPr>
      <w:keepNext/>
      <w:keepLines/>
      <w:tabs>
        <w:tab w:val="left" w:pos="3960"/>
      </w:tabs>
      <w:spacing w:line="276" w:lineRule="auto"/>
      <w:jc w:val="center"/>
      <w:outlineLvl w:val="1"/>
      <w:rPr>
        <w:rFonts w:eastAsiaTheme="majorEastAsia" w:cstheme="majorBidi"/>
        <w:b/>
      </w:rPr>
    </w:pPr>
    <w:r w:rsidRPr="00EE6280">
      <w:rPr>
        <w:rFonts w:eastAsiaTheme="majorEastAsia" w:cstheme="majorBidi"/>
        <w:b/>
      </w:rPr>
      <w:t>Finance and Facilities Committee Meeting</w:t>
    </w:r>
  </w:p>
  <w:p w14:paraId="485BE2BE" w14:textId="6827159C" w:rsidR="005662AB" w:rsidRPr="00EE6280" w:rsidRDefault="007319EE" w:rsidP="006032D5">
    <w:pPr>
      <w:keepNext/>
      <w:keepLines/>
      <w:tabs>
        <w:tab w:val="left" w:pos="3960"/>
      </w:tabs>
      <w:spacing w:line="276" w:lineRule="auto"/>
      <w:jc w:val="center"/>
      <w:outlineLvl w:val="1"/>
      <w:rPr>
        <w:rFonts w:eastAsiaTheme="majorEastAsia" w:cstheme="majorBidi"/>
        <w:b/>
      </w:rPr>
    </w:pPr>
    <w:r>
      <w:rPr>
        <w:rFonts w:eastAsiaTheme="majorEastAsia" w:cstheme="majorBidi"/>
        <w:b/>
      </w:rPr>
      <w:t>November 16</w:t>
    </w:r>
    <w:r w:rsidR="005662AB">
      <w:rPr>
        <w:rFonts w:eastAsiaTheme="majorEastAsia" w:cstheme="majorBidi"/>
        <w:b/>
      </w:rPr>
      <w:t>, 2023</w:t>
    </w:r>
  </w:p>
  <w:p w14:paraId="081670EA" w14:textId="5087B5BD" w:rsidR="005662AB" w:rsidRDefault="005662AB" w:rsidP="006032D5">
    <w:pPr>
      <w:keepNext/>
      <w:keepLines/>
      <w:tabs>
        <w:tab w:val="left" w:pos="3960"/>
      </w:tabs>
      <w:spacing w:line="276" w:lineRule="auto"/>
      <w:jc w:val="center"/>
      <w:outlineLvl w:val="1"/>
      <w:rPr>
        <w:rFonts w:eastAsiaTheme="majorEastAsia" w:cstheme="majorBidi"/>
        <w:b/>
      </w:rPr>
    </w:pPr>
    <w:r>
      <w:rPr>
        <w:rFonts w:eastAsiaTheme="majorEastAsia" w:cstheme="majorBidi"/>
        <w:b/>
      </w:rPr>
      <w:t>1</w:t>
    </w:r>
    <w:r w:rsidR="007319EE">
      <w:rPr>
        <w:rFonts w:eastAsiaTheme="majorEastAsia" w:cstheme="majorBidi"/>
        <w:b/>
      </w:rPr>
      <w:t>2</w:t>
    </w:r>
    <w:r>
      <w:rPr>
        <w:rFonts w:eastAsiaTheme="majorEastAsia" w:cstheme="majorBidi"/>
        <w:b/>
      </w:rPr>
      <w:t>:</w:t>
    </w:r>
    <w:r w:rsidR="007319EE">
      <w:rPr>
        <w:rFonts w:eastAsiaTheme="majorEastAsia" w:cstheme="majorBidi"/>
        <w:b/>
      </w:rPr>
      <w:t>45</w:t>
    </w:r>
    <w:r>
      <w:rPr>
        <w:rFonts w:eastAsiaTheme="majorEastAsia" w:cstheme="majorBidi"/>
        <w:b/>
      </w:rPr>
      <w:t xml:space="preserve"> pm – </w:t>
    </w:r>
    <w:r w:rsidR="007319EE">
      <w:rPr>
        <w:rFonts w:eastAsiaTheme="majorEastAsia" w:cstheme="majorBidi"/>
        <w:b/>
      </w:rPr>
      <w:t>1</w:t>
    </w:r>
    <w:r>
      <w:rPr>
        <w:rFonts w:eastAsiaTheme="majorEastAsia" w:cstheme="majorBidi"/>
        <w:b/>
      </w:rPr>
      <w:t>:</w:t>
    </w:r>
    <w:r w:rsidR="007319EE">
      <w:rPr>
        <w:rFonts w:eastAsiaTheme="majorEastAsia" w:cstheme="majorBidi"/>
        <w:b/>
      </w:rPr>
      <w:t>30</w:t>
    </w:r>
    <w:r>
      <w:rPr>
        <w:rFonts w:eastAsiaTheme="majorEastAsia" w:cstheme="majorBidi"/>
        <w:b/>
      </w:rPr>
      <w:t xml:space="preserve"> pm</w:t>
    </w:r>
  </w:p>
  <w:p w14:paraId="687D880C" w14:textId="523974EB" w:rsidR="00BC454D" w:rsidRPr="006032D5" w:rsidRDefault="005662AB" w:rsidP="006032D5">
    <w:pPr>
      <w:pStyle w:val="Header"/>
      <w:tabs>
        <w:tab w:val="left" w:pos="3960"/>
      </w:tabs>
      <w:spacing w:line="276" w:lineRule="auto"/>
      <w:jc w:val="center"/>
      <w:rPr>
        <w:i/>
        <w:iCs/>
      </w:rPr>
    </w:pPr>
    <w:r>
      <w:rPr>
        <w:i/>
        <w:iCs/>
      </w:rPr>
      <w:t>V</w:t>
    </w:r>
    <w:r w:rsidRPr="00107A2E">
      <w:rPr>
        <w:i/>
        <w:iCs/>
      </w:rPr>
      <w:t xml:space="preserve">irtual </w:t>
    </w:r>
    <w:r>
      <w:rPr>
        <w:i/>
        <w:iCs/>
      </w:rPr>
      <w:t>M</w:t>
    </w:r>
    <w:r w:rsidRPr="00107A2E">
      <w:rPr>
        <w:i/>
        <w:iCs/>
      </w:rPr>
      <w:t>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46B"/>
    <w:multiLevelType w:val="hybridMultilevel"/>
    <w:tmpl w:val="C1682E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E453761"/>
    <w:multiLevelType w:val="hybridMultilevel"/>
    <w:tmpl w:val="A79A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D7CC8"/>
    <w:multiLevelType w:val="hybridMultilevel"/>
    <w:tmpl w:val="A794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E5AAB"/>
    <w:multiLevelType w:val="hybridMultilevel"/>
    <w:tmpl w:val="18D61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82B67"/>
    <w:multiLevelType w:val="hybridMultilevel"/>
    <w:tmpl w:val="8462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590328">
    <w:abstractNumId w:val="0"/>
  </w:num>
  <w:num w:numId="2" w16cid:durableId="1397624484">
    <w:abstractNumId w:val="3"/>
  </w:num>
  <w:num w:numId="3" w16cid:durableId="466550832">
    <w:abstractNumId w:val="4"/>
  </w:num>
  <w:num w:numId="4" w16cid:durableId="2092267375">
    <w:abstractNumId w:val="1"/>
  </w:num>
  <w:num w:numId="5" w16cid:durableId="2022661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EE"/>
    <w:rsid w:val="00006297"/>
    <w:rsid w:val="00007465"/>
    <w:rsid w:val="00033A7D"/>
    <w:rsid w:val="000345E5"/>
    <w:rsid w:val="00047AC1"/>
    <w:rsid w:val="0005104F"/>
    <w:rsid w:val="00052330"/>
    <w:rsid w:val="000525A6"/>
    <w:rsid w:val="00052A5C"/>
    <w:rsid w:val="000679D7"/>
    <w:rsid w:val="000748DF"/>
    <w:rsid w:val="00077D23"/>
    <w:rsid w:val="00080A74"/>
    <w:rsid w:val="00084C14"/>
    <w:rsid w:val="000D02FE"/>
    <w:rsid w:val="000D11BE"/>
    <w:rsid w:val="000E0CC5"/>
    <w:rsid w:val="000F6440"/>
    <w:rsid w:val="00106400"/>
    <w:rsid w:val="00133ABE"/>
    <w:rsid w:val="00135CF4"/>
    <w:rsid w:val="00142E32"/>
    <w:rsid w:val="0014379D"/>
    <w:rsid w:val="001478A8"/>
    <w:rsid w:val="00160078"/>
    <w:rsid w:val="00160B94"/>
    <w:rsid w:val="00167353"/>
    <w:rsid w:val="001721D0"/>
    <w:rsid w:val="00172AB7"/>
    <w:rsid w:val="00173DCD"/>
    <w:rsid w:val="001742D6"/>
    <w:rsid w:val="00180D09"/>
    <w:rsid w:val="00196243"/>
    <w:rsid w:val="001A3ABA"/>
    <w:rsid w:val="001A77EA"/>
    <w:rsid w:val="001B61FB"/>
    <w:rsid w:val="001B6799"/>
    <w:rsid w:val="001C1C3A"/>
    <w:rsid w:val="001D01A8"/>
    <w:rsid w:val="001D45B0"/>
    <w:rsid w:val="001D6D4E"/>
    <w:rsid w:val="001D734A"/>
    <w:rsid w:val="001D7FB3"/>
    <w:rsid w:val="001E16BC"/>
    <w:rsid w:val="001E3D00"/>
    <w:rsid w:val="001F52EF"/>
    <w:rsid w:val="0020320C"/>
    <w:rsid w:val="002107DD"/>
    <w:rsid w:val="00212EC9"/>
    <w:rsid w:val="002363ED"/>
    <w:rsid w:val="002407E8"/>
    <w:rsid w:val="00244955"/>
    <w:rsid w:val="00253A3E"/>
    <w:rsid w:val="0026312B"/>
    <w:rsid w:val="00270184"/>
    <w:rsid w:val="002823AF"/>
    <w:rsid w:val="00282DB3"/>
    <w:rsid w:val="002B0FFA"/>
    <w:rsid w:val="002C1E44"/>
    <w:rsid w:val="002E11ED"/>
    <w:rsid w:val="002F0CED"/>
    <w:rsid w:val="002F1B65"/>
    <w:rsid w:val="003010E3"/>
    <w:rsid w:val="0030120B"/>
    <w:rsid w:val="00304A55"/>
    <w:rsid w:val="00316215"/>
    <w:rsid w:val="00333CFE"/>
    <w:rsid w:val="003356C8"/>
    <w:rsid w:val="00360A1D"/>
    <w:rsid w:val="00373B99"/>
    <w:rsid w:val="0039179D"/>
    <w:rsid w:val="003A0884"/>
    <w:rsid w:val="003B4D02"/>
    <w:rsid w:val="003E1B1C"/>
    <w:rsid w:val="003E2FF9"/>
    <w:rsid w:val="003E7C15"/>
    <w:rsid w:val="003F0B10"/>
    <w:rsid w:val="003F45E5"/>
    <w:rsid w:val="0040492B"/>
    <w:rsid w:val="0041374E"/>
    <w:rsid w:val="00415C7A"/>
    <w:rsid w:val="00454167"/>
    <w:rsid w:val="00455283"/>
    <w:rsid w:val="00457410"/>
    <w:rsid w:val="0045750F"/>
    <w:rsid w:val="0045786F"/>
    <w:rsid w:val="00466089"/>
    <w:rsid w:val="00466AE4"/>
    <w:rsid w:val="00470662"/>
    <w:rsid w:val="004731DB"/>
    <w:rsid w:val="0047545A"/>
    <w:rsid w:val="0047694B"/>
    <w:rsid w:val="00494F7E"/>
    <w:rsid w:val="004E0DCD"/>
    <w:rsid w:val="004E67D0"/>
    <w:rsid w:val="00503B79"/>
    <w:rsid w:val="00510495"/>
    <w:rsid w:val="00515C0E"/>
    <w:rsid w:val="00521CAF"/>
    <w:rsid w:val="005662AB"/>
    <w:rsid w:val="0056774A"/>
    <w:rsid w:val="005679B7"/>
    <w:rsid w:val="005731BE"/>
    <w:rsid w:val="00585D92"/>
    <w:rsid w:val="005B1295"/>
    <w:rsid w:val="005B6FBE"/>
    <w:rsid w:val="005C1748"/>
    <w:rsid w:val="005C2151"/>
    <w:rsid w:val="005C425F"/>
    <w:rsid w:val="005D2E1C"/>
    <w:rsid w:val="005F0CDE"/>
    <w:rsid w:val="00600BC2"/>
    <w:rsid w:val="00601898"/>
    <w:rsid w:val="00602FC3"/>
    <w:rsid w:val="006032D5"/>
    <w:rsid w:val="006176B3"/>
    <w:rsid w:val="0062103B"/>
    <w:rsid w:val="00622D71"/>
    <w:rsid w:val="00632136"/>
    <w:rsid w:val="00635770"/>
    <w:rsid w:val="0065531B"/>
    <w:rsid w:val="00663307"/>
    <w:rsid w:val="00672F4A"/>
    <w:rsid w:val="0067431F"/>
    <w:rsid w:val="0067458B"/>
    <w:rsid w:val="00675886"/>
    <w:rsid w:val="006871BB"/>
    <w:rsid w:val="00692226"/>
    <w:rsid w:val="00695303"/>
    <w:rsid w:val="00695A35"/>
    <w:rsid w:val="00697345"/>
    <w:rsid w:val="006A0B1B"/>
    <w:rsid w:val="006B2122"/>
    <w:rsid w:val="006B68E3"/>
    <w:rsid w:val="006C31AE"/>
    <w:rsid w:val="006C5932"/>
    <w:rsid w:val="006C595D"/>
    <w:rsid w:val="006E4E31"/>
    <w:rsid w:val="006E6363"/>
    <w:rsid w:val="006E6951"/>
    <w:rsid w:val="006F1DC8"/>
    <w:rsid w:val="006F40BA"/>
    <w:rsid w:val="00700DA3"/>
    <w:rsid w:val="00706D94"/>
    <w:rsid w:val="0071787D"/>
    <w:rsid w:val="00725B63"/>
    <w:rsid w:val="00725D08"/>
    <w:rsid w:val="0073068C"/>
    <w:rsid w:val="007319EE"/>
    <w:rsid w:val="007334CC"/>
    <w:rsid w:val="007340CA"/>
    <w:rsid w:val="007411B4"/>
    <w:rsid w:val="00747D5C"/>
    <w:rsid w:val="00761E49"/>
    <w:rsid w:val="007707D0"/>
    <w:rsid w:val="00777253"/>
    <w:rsid w:val="00793C50"/>
    <w:rsid w:val="007A5F86"/>
    <w:rsid w:val="007C3A8F"/>
    <w:rsid w:val="007D63D6"/>
    <w:rsid w:val="007E5863"/>
    <w:rsid w:val="007F1803"/>
    <w:rsid w:val="00806F6A"/>
    <w:rsid w:val="00831C38"/>
    <w:rsid w:val="00832AF1"/>
    <w:rsid w:val="00843F8C"/>
    <w:rsid w:val="00850BB6"/>
    <w:rsid w:val="00860BF0"/>
    <w:rsid w:val="00864CB0"/>
    <w:rsid w:val="00864D44"/>
    <w:rsid w:val="0089747E"/>
    <w:rsid w:val="008A5C45"/>
    <w:rsid w:val="008C69A8"/>
    <w:rsid w:val="008D2131"/>
    <w:rsid w:val="008D6499"/>
    <w:rsid w:val="008E3239"/>
    <w:rsid w:val="008E381E"/>
    <w:rsid w:val="008F06EB"/>
    <w:rsid w:val="008F7E00"/>
    <w:rsid w:val="00905652"/>
    <w:rsid w:val="00917DC1"/>
    <w:rsid w:val="009421B3"/>
    <w:rsid w:val="009544FA"/>
    <w:rsid w:val="009608D9"/>
    <w:rsid w:val="00964021"/>
    <w:rsid w:val="00994F9D"/>
    <w:rsid w:val="009C1110"/>
    <w:rsid w:val="009D1F52"/>
    <w:rsid w:val="009D31A3"/>
    <w:rsid w:val="009D6F61"/>
    <w:rsid w:val="009E16C1"/>
    <w:rsid w:val="009E64E9"/>
    <w:rsid w:val="00A11EAD"/>
    <w:rsid w:val="00A306C9"/>
    <w:rsid w:val="00A34C6A"/>
    <w:rsid w:val="00A5090A"/>
    <w:rsid w:val="00A50CB3"/>
    <w:rsid w:val="00A524DA"/>
    <w:rsid w:val="00A67BC7"/>
    <w:rsid w:val="00A74357"/>
    <w:rsid w:val="00A83C8D"/>
    <w:rsid w:val="00A909CB"/>
    <w:rsid w:val="00A9234A"/>
    <w:rsid w:val="00A943D3"/>
    <w:rsid w:val="00AA7887"/>
    <w:rsid w:val="00AB2DDB"/>
    <w:rsid w:val="00AB3E76"/>
    <w:rsid w:val="00AB6755"/>
    <w:rsid w:val="00AE43C8"/>
    <w:rsid w:val="00AE75C3"/>
    <w:rsid w:val="00B604F0"/>
    <w:rsid w:val="00B92DAA"/>
    <w:rsid w:val="00BA5E54"/>
    <w:rsid w:val="00BB0D73"/>
    <w:rsid w:val="00BB39C5"/>
    <w:rsid w:val="00BB4F3D"/>
    <w:rsid w:val="00BC11E3"/>
    <w:rsid w:val="00BC4418"/>
    <w:rsid w:val="00BC454D"/>
    <w:rsid w:val="00BD22EF"/>
    <w:rsid w:val="00BE1C5E"/>
    <w:rsid w:val="00BE24FA"/>
    <w:rsid w:val="00BE379F"/>
    <w:rsid w:val="00BF761C"/>
    <w:rsid w:val="00BF7F84"/>
    <w:rsid w:val="00C06353"/>
    <w:rsid w:val="00C06845"/>
    <w:rsid w:val="00C07EBB"/>
    <w:rsid w:val="00C2571A"/>
    <w:rsid w:val="00C3461E"/>
    <w:rsid w:val="00C34B83"/>
    <w:rsid w:val="00C542BC"/>
    <w:rsid w:val="00C56E1D"/>
    <w:rsid w:val="00C602B6"/>
    <w:rsid w:val="00C61D5B"/>
    <w:rsid w:val="00C91D5D"/>
    <w:rsid w:val="00C9285A"/>
    <w:rsid w:val="00C976BF"/>
    <w:rsid w:val="00CA16D7"/>
    <w:rsid w:val="00CB494A"/>
    <w:rsid w:val="00CD27B4"/>
    <w:rsid w:val="00CD3DB9"/>
    <w:rsid w:val="00CE253B"/>
    <w:rsid w:val="00CE396C"/>
    <w:rsid w:val="00CF5D96"/>
    <w:rsid w:val="00D104D9"/>
    <w:rsid w:val="00D156AA"/>
    <w:rsid w:val="00D3254F"/>
    <w:rsid w:val="00D427C5"/>
    <w:rsid w:val="00D562AC"/>
    <w:rsid w:val="00D61946"/>
    <w:rsid w:val="00D62132"/>
    <w:rsid w:val="00D73068"/>
    <w:rsid w:val="00D73F34"/>
    <w:rsid w:val="00D74E20"/>
    <w:rsid w:val="00D761C1"/>
    <w:rsid w:val="00DB438C"/>
    <w:rsid w:val="00DD2490"/>
    <w:rsid w:val="00DD3BF5"/>
    <w:rsid w:val="00DE2190"/>
    <w:rsid w:val="00E06703"/>
    <w:rsid w:val="00E12D50"/>
    <w:rsid w:val="00E3072D"/>
    <w:rsid w:val="00E4103F"/>
    <w:rsid w:val="00E525BC"/>
    <w:rsid w:val="00E53B50"/>
    <w:rsid w:val="00E55752"/>
    <w:rsid w:val="00E558D7"/>
    <w:rsid w:val="00E61B71"/>
    <w:rsid w:val="00E62D65"/>
    <w:rsid w:val="00E632C8"/>
    <w:rsid w:val="00E67A02"/>
    <w:rsid w:val="00E81E9D"/>
    <w:rsid w:val="00E9185F"/>
    <w:rsid w:val="00E93277"/>
    <w:rsid w:val="00EB497E"/>
    <w:rsid w:val="00EC2C07"/>
    <w:rsid w:val="00EE18D5"/>
    <w:rsid w:val="00EE2899"/>
    <w:rsid w:val="00EF5D4A"/>
    <w:rsid w:val="00F04215"/>
    <w:rsid w:val="00F05181"/>
    <w:rsid w:val="00F328E9"/>
    <w:rsid w:val="00F34B3A"/>
    <w:rsid w:val="00F34C98"/>
    <w:rsid w:val="00F4027C"/>
    <w:rsid w:val="00F408B3"/>
    <w:rsid w:val="00F46471"/>
    <w:rsid w:val="00F661B4"/>
    <w:rsid w:val="00F710C8"/>
    <w:rsid w:val="00F749DF"/>
    <w:rsid w:val="00F77553"/>
    <w:rsid w:val="00F928EB"/>
    <w:rsid w:val="00F94A0F"/>
    <w:rsid w:val="00FA5CC2"/>
    <w:rsid w:val="00FA7564"/>
    <w:rsid w:val="00FB1078"/>
    <w:rsid w:val="00FE40EC"/>
    <w:rsid w:val="00FE7673"/>
    <w:rsid w:val="00FF0CD1"/>
    <w:rsid w:val="00FF1206"/>
    <w:rsid w:val="00FF3E3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5CD6D"/>
  <w15:chartTrackingRefBased/>
  <w15:docId w15:val="{44686F68-C944-454F-B06C-34A74ADD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B4"/>
    <w:pPr>
      <w:spacing w:after="0"/>
    </w:pPr>
    <w:rPr>
      <w:rFonts w:ascii="Book Antiqua" w:hAnsi="Book Antiqua"/>
    </w:rPr>
  </w:style>
  <w:style w:type="paragraph" w:styleId="Heading1">
    <w:name w:val="heading 1"/>
    <w:basedOn w:val="Normal"/>
    <w:next w:val="Normal"/>
    <w:link w:val="Heading1Char"/>
    <w:uiPriority w:val="9"/>
    <w:qFormat/>
    <w:rsid w:val="00BC454D"/>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253A3E"/>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A3E"/>
    <w:rPr>
      <w:rFonts w:ascii="Book Antiqua" w:eastAsiaTheme="majorEastAsia" w:hAnsi="Book Antiqua" w:cstheme="majorBidi"/>
      <w:b/>
      <w:sz w:val="24"/>
      <w:szCs w:val="26"/>
    </w:rPr>
  </w:style>
  <w:style w:type="table" w:styleId="TableGrid">
    <w:name w:val="Table Grid"/>
    <w:basedOn w:val="TableNormal"/>
    <w:uiPriority w:val="39"/>
    <w:rsid w:val="00B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54D"/>
    <w:pPr>
      <w:tabs>
        <w:tab w:val="center" w:pos="4680"/>
        <w:tab w:val="right" w:pos="9360"/>
      </w:tabs>
      <w:spacing w:line="240" w:lineRule="auto"/>
    </w:pPr>
  </w:style>
  <w:style w:type="character" w:customStyle="1" w:styleId="HeaderChar">
    <w:name w:val="Header Char"/>
    <w:basedOn w:val="DefaultParagraphFont"/>
    <w:link w:val="Header"/>
    <w:uiPriority w:val="99"/>
    <w:rsid w:val="00BC454D"/>
    <w:rPr>
      <w:rFonts w:ascii="Book Antiqua" w:hAnsi="Book Antiqua"/>
    </w:rPr>
  </w:style>
  <w:style w:type="paragraph" w:styleId="Footer">
    <w:name w:val="footer"/>
    <w:basedOn w:val="Normal"/>
    <w:link w:val="FooterChar"/>
    <w:uiPriority w:val="99"/>
    <w:unhideWhenUsed/>
    <w:rsid w:val="00BC454D"/>
    <w:pPr>
      <w:tabs>
        <w:tab w:val="center" w:pos="4680"/>
        <w:tab w:val="right" w:pos="9360"/>
      </w:tabs>
      <w:spacing w:line="240" w:lineRule="auto"/>
    </w:pPr>
  </w:style>
  <w:style w:type="character" w:customStyle="1" w:styleId="FooterChar">
    <w:name w:val="Footer Char"/>
    <w:basedOn w:val="DefaultParagraphFont"/>
    <w:link w:val="Footer"/>
    <w:uiPriority w:val="99"/>
    <w:rsid w:val="00BC454D"/>
    <w:rPr>
      <w:rFonts w:ascii="Book Antiqua" w:hAnsi="Book Antiqua"/>
    </w:rPr>
  </w:style>
  <w:style w:type="character" w:customStyle="1" w:styleId="Heading1Char">
    <w:name w:val="Heading 1 Char"/>
    <w:basedOn w:val="DefaultParagraphFont"/>
    <w:link w:val="Heading1"/>
    <w:uiPriority w:val="9"/>
    <w:rsid w:val="00BC454D"/>
    <w:rPr>
      <w:rFonts w:ascii="Book Antiqua" w:eastAsiaTheme="majorEastAsia" w:hAnsi="Book Antiqua" w:cstheme="majorBidi"/>
      <w:b/>
      <w:sz w:val="24"/>
      <w:szCs w:val="32"/>
    </w:rPr>
  </w:style>
  <w:style w:type="paragraph" w:styleId="ListParagraph">
    <w:name w:val="List Paragraph"/>
    <w:basedOn w:val="Normal"/>
    <w:uiPriority w:val="34"/>
    <w:qFormat/>
    <w:rsid w:val="00717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4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4263</TotalTime>
  <Pages>6</Pages>
  <Words>1757</Words>
  <Characters>9124</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MINUTES</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dc:description/>
  <cp:lastModifiedBy>Knopp, Raygan</cp:lastModifiedBy>
  <cp:revision>222</cp:revision>
  <cp:lastPrinted>2023-11-16T13:23:00Z</cp:lastPrinted>
  <dcterms:created xsi:type="dcterms:W3CDTF">2023-11-17T21:15:00Z</dcterms:created>
  <dcterms:modified xsi:type="dcterms:W3CDTF">2024-01-11T21:34:00Z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63a828fc-b614-4eb6-b2cf-a4fc52a3d2a9</vt:lpwstr>
  </property>
</Properties>
</file>