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770" w14:textId="77777777" w:rsidR="008F1610" w:rsidRPr="003108CB" w:rsidRDefault="008F1610" w:rsidP="008F1610">
      <w:pPr>
        <w:pStyle w:val="Heading1"/>
        <w:spacing w:line="480" w:lineRule="auto"/>
        <w:rPr>
          <w:b/>
          <w:bCs w:val="0"/>
        </w:rPr>
      </w:pPr>
      <w:r w:rsidRPr="003108CB">
        <w:rPr>
          <w:b/>
          <w:bCs w:val="0"/>
        </w:rPr>
        <w:t>AGENDA</w:t>
      </w:r>
    </w:p>
    <w:p w14:paraId="3989D5C6" w14:textId="77777777" w:rsidR="008F1610" w:rsidRPr="001E3AB5" w:rsidRDefault="008F1610" w:rsidP="008F1610">
      <w:pPr>
        <w:pStyle w:val="Heading2"/>
        <w:ind w:left="1440" w:hanging="1440"/>
      </w:pPr>
      <w:r w:rsidRPr="001E3AB5">
        <w:t xml:space="preserve">Item 1 </w:t>
      </w:r>
      <w:r>
        <w:tab/>
      </w:r>
      <w:r w:rsidRPr="001E3AB5">
        <w:t>Call to Order</w:t>
      </w:r>
    </w:p>
    <w:p w14:paraId="77DAEEB5" w14:textId="77777777" w:rsidR="008F1610" w:rsidRDefault="008F1610" w:rsidP="008F1610">
      <w:pPr>
        <w:spacing w:after="0" w:line="240" w:lineRule="auto"/>
        <w:ind w:left="1440" w:hanging="1440"/>
      </w:pPr>
      <w:r w:rsidRPr="001E3AB5">
        <w:tab/>
        <w:t>Chair Hyde will call the meeting to order</w:t>
      </w:r>
      <w:r>
        <w:t>.</w:t>
      </w:r>
    </w:p>
    <w:p w14:paraId="25049788" w14:textId="77777777" w:rsidR="008F1610" w:rsidRPr="001E3AB5" w:rsidRDefault="008F1610" w:rsidP="008F1610">
      <w:pPr>
        <w:spacing w:after="0" w:line="240" w:lineRule="auto"/>
        <w:ind w:left="1440" w:hanging="1440"/>
      </w:pPr>
    </w:p>
    <w:p w14:paraId="3C3606F6" w14:textId="77777777" w:rsidR="008F1610" w:rsidRPr="001E3AB5" w:rsidRDefault="008F1610" w:rsidP="008F1610">
      <w:pPr>
        <w:pStyle w:val="Heading2"/>
        <w:ind w:left="1440" w:hanging="1440"/>
      </w:pPr>
      <w:r w:rsidRPr="001E3AB5">
        <w:t>Item 2</w:t>
      </w:r>
      <w:r>
        <w:tab/>
      </w:r>
      <w:r w:rsidRPr="001E3AB5">
        <w:t xml:space="preserve">Public Comment </w:t>
      </w:r>
    </w:p>
    <w:p w14:paraId="7FB5DAF0" w14:textId="77777777" w:rsidR="008F1610" w:rsidRDefault="008F1610" w:rsidP="008F1610">
      <w:pPr>
        <w:spacing w:after="0" w:line="240" w:lineRule="auto"/>
        <w:ind w:left="1440"/>
      </w:pPr>
      <w:r w:rsidRPr="001E3AB5">
        <w:t>Chair Hyde will offer those in attendance the opportunity for public comment.</w:t>
      </w:r>
    </w:p>
    <w:p w14:paraId="7E9D25A4" w14:textId="77777777" w:rsidR="008F1610" w:rsidRDefault="008F1610" w:rsidP="008F1610">
      <w:pPr>
        <w:spacing w:after="0" w:line="240" w:lineRule="auto"/>
        <w:ind w:left="1440" w:hanging="1440"/>
      </w:pPr>
    </w:p>
    <w:p w14:paraId="6DB9F98A" w14:textId="77777777" w:rsidR="008F1610" w:rsidRDefault="008F1610" w:rsidP="008F1610">
      <w:pPr>
        <w:pStyle w:val="Heading2"/>
        <w:ind w:left="1440" w:hanging="1440"/>
      </w:pPr>
      <w:r w:rsidRPr="001E3AB5">
        <w:t xml:space="preserve">Item </w:t>
      </w:r>
      <w:r>
        <w:t>3</w:t>
      </w:r>
      <w:r>
        <w:tab/>
        <w:t>Chair’s Remarks</w:t>
      </w:r>
    </w:p>
    <w:p w14:paraId="12A711CE" w14:textId="77777777" w:rsidR="008F1610" w:rsidRDefault="008F1610" w:rsidP="008F1610"/>
    <w:p w14:paraId="2E62CA41" w14:textId="77777777" w:rsidR="008F1610" w:rsidRDefault="008F1610" w:rsidP="008F1610">
      <w:pPr>
        <w:pStyle w:val="Heading2"/>
        <w:spacing w:line="600" w:lineRule="auto"/>
        <w:ind w:left="1440" w:hanging="1440"/>
      </w:pPr>
      <w:r>
        <w:t>Item 4</w:t>
      </w:r>
      <w:r>
        <w:tab/>
        <w:t>President’s Remarks</w:t>
      </w:r>
    </w:p>
    <w:p w14:paraId="1EF5DEDB" w14:textId="77777777" w:rsidR="008F1610" w:rsidRPr="003108CB" w:rsidRDefault="008F1610" w:rsidP="008F1610">
      <w:pPr>
        <w:pStyle w:val="Heading2"/>
        <w:ind w:left="1440" w:hanging="1440"/>
        <w:rPr>
          <w:rStyle w:val="Heading2Char"/>
        </w:rPr>
      </w:pPr>
      <w:r w:rsidRPr="003108CB">
        <w:t>Item 5</w:t>
      </w:r>
      <w:r>
        <w:tab/>
      </w:r>
      <w:r w:rsidRPr="003108CB">
        <w:rPr>
          <w:rStyle w:val="Heading2Char"/>
        </w:rPr>
        <w:t>Specialized Admissions Applications</w:t>
      </w:r>
    </w:p>
    <w:p w14:paraId="597336B9" w14:textId="77777777" w:rsidR="008F1610" w:rsidRDefault="008F1610" w:rsidP="008F1610">
      <w:pPr>
        <w:ind w:left="1440"/>
      </w:pPr>
      <w:r w:rsidRPr="00BD0E2C">
        <w:t xml:space="preserve">On June 30, 2022, the Board of Governors </w:t>
      </w:r>
      <w:r>
        <w:t xml:space="preserve">amended </w:t>
      </w:r>
      <w:r w:rsidRPr="00BD0E2C">
        <w:t>Regulation 8.013</w:t>
      </w:r>
      <w:r>
        <w:t>, changing the name of the regulation from “</w:t>
      </w:r>
      <w:r w:rsidRPr="00BD0E2C">
        <w:t>Limited Access</w:t>
      </w:r>
      <w:r>
        <w:t>”</w:t>
      </w:r>
      <w:r w:rsidRPr="00BD0E2C">
        <w:t xml:space="preserve"> to </w:t>
      </w:r>
      <w:r>
        <w:t>“</w:t>
      </w:r>
      <w:r w:rsidRPr="00BD0E2C">
        <w:t>Specialized Admissions</w:t>
      </w:r>
      <w:r>
        <w:t>”</w:t>
      </w:r>
      <w:r w:rsidRPr="00BD0E2C">
        <w:t xml:space="preserve"> </w:t>
      </w:r>
      <w:r>
        <w:t xml:space="preserve">and modifying the criteria for initial approval and continued approval of specialized admissions.  </w:t>
      </w:r>
    </w:p>
    <w:p w14:paraId="340735C5" w14:textId="77777777" w:rsidR="008F1610" w:rsidRDefault="008F1610" w:rsidP="008F1610">
      <w:pPr>
        <w:ind w:left="1440"/>
      </w:pPr>
      <w:r w:rsidRPr="00BD0E2C">
        <w:t xml:space="preserve">Specialized admissions status allows Florida public universities to establish additional criteria for admission to undergraduate programs. </w:t>
      </w:r>
      <w:r>
        <w:t>U</w:t>
      </w:r>
      <w:r w:rsidRPr="00BD0E2C">
        <w:t xml:space="preserve">niversities must </w:t>
      </w:r>
      <w:r>
        <w:t xml:space="preserve">now </w:t>
      </w:r>
      <w:proofErr w:type="gramStart"/>
      <w:r w:rsidRPr="00BD0E2C">
        <w:t>submit an application</w:t>
      </w:r>
      <w:proofErr w:type="gramEnd"/>
      <w:r w:rsidRPr="00BD0E2C">
        <w:t xml:space="preserve"> for specialized admissions status for any undergraduate program that currently has limited access status. Undergraduate programs may apply for specialized admissions due to limited resources, minimum skills requirements, or due to requirements or limitations imposed on the undergraduate program by its disciplinary accreditor. </w:t>
      </w:r>
    </w:p>
    <w:p w14:paraId="13A682E3" w14:textId="77777777" w:rsidR="008F1610" w:rsidRPr="00BD0E2C" w:rsidRDefault="008F1610" w:rsidP="008F1610">
      <w:pPr>
        <w:ind w:left="1440"/>
      </w:pPr>
      <w:r w:rsidRPr="00BD0E2C">
        <w:t xml:space="preserve">Associate Provost </w:t>
      </w:r>
      <w:proofErr w:type="spellStart"/>
      <w:r w:rsidRPr="00BD0E2C">
        <w:t>Kantner</w:t>
      </w:r>
      <w:proofErr w:type="spellEnd"/>
      <w:r w:rsidRPr="00BD0E2C">
        <w:t xml:space="preserve"> will present the following UNF’s limited access programs applying for specialized admissions status for Board of Trustee</w:t>
      </w:r>
      <w:r>
        <w:t>’s</w:t>
      </w:r>
      <w:r w:rsidRPr="00BD0E2C">
        <w:t xml:space="preserve"> approval prior to submission of the applications to the Board of Governors</w:t>
      </w:r>
      <w:r>
        <w:t xml:space="preserve"> for their approval.</w:t>
      </w:r>
    </w:p>
    <w:p w14:paraId="75F7FA68" w14:textId="77777777" w:rsidR="008F1610" w:rsidRPr="00BD0E2C" w:rsidRDefault="008F1610" w:rsidP="008F1610">
      <w:pPr>
        <w:spacing w:after="120"/>
        <w:ind w:left="2160"/>
      </w:pPr>
      <w:r w:rsidRPr="00BD0E2C">
        <w:t>13.1312 Music Teacher Education Application</w:t>
      </w:r>
    </w:p>
    <w:p w14:paraId="454E4D9C" w14:textId="77777777" w:rsidR="008F1610" w:rsidRPr="00BD0E2C" w:rsidRDefault="008F1610" w:rsidP="008F1610">
      <w:pPr>
        <w:spacing w:after="120"/>
        <w:ind w:left="2160"/>
      </w:pPr>
      <w:r w:rsidRPr="00BD0E2C">
        <w:t>16.1603 ASL/English Interpreting Application</w:t>
      </w:r>
    </w:p>
    <w:p w14:paraId="68042DD0" w14:textId="77777777" w:rsidR="008F1610" w:rsidRPr="00BD0E2C" w:rsidRDefault="008F1610" w:rsidP="008F1610">
      <w:pPr>
        <w:spacing w:after="120"/>
        <w:ind w:left="2160"/>
      </w:pPr>
      <w:r w:rsidRPr="00BD0E2C">
        <w:lastRenderedPageBreak/>
        <w:t>44.0701 Social Work Application</w:t>
      </w:r>
    </w:p>
    <w:p w14:paraId="035E8418" w14:textId="77777777" w:rsidR="008F1610" w:rsidRPr="00BD0E2C" w:rsidRDefault="008F1610" w:rsidP="008F1610">
      <w:pPr>
        <w:spacing w:after="120"/>
        <w:ind w:left="2160"/>
      </w:pPr>
      <w:r w:rsidRPr="00BD0E2C">
        <w:t>50.0409 Graphic Design and Digital Media Application</w:t>
      </w:r>
    </w:p>
    <w:p w14:paraId="5BFE460A" w14:textId="77777777" w:rsidR="008F1610" w:rsidRPr="00BD0E2C" w:rsidRDefault="008F1610" w:rsidP="008F1610">
      <w:pPr>
        <w:spacing w:after="120"/>
        <w:ind w:left="2160"/>
      </w:pPr>
      <w:r w:rsidRPr="00BD0E2C">
        <w:t>50.0903 Music Performance Application</w:t>
      </w:r>
    </w:p>
    <w:p w14:paraId="44D1C5C0" w14:textId="77777777" w:rsidR="008F1610" w:rsidRPr="00BD0E2C" w:rsidRDefault="008F1610" w:rsidP="008F1610">
      <w:pPr>
        <w:spacing w:after="120"/>
        <w:ind w:left="2160"/>
      </w:pPr>
      <w:r w:rsidRPr="00BD0E2C">
        <w:t>50.0910 Jazz Studies Application</w:t>
      </w:r>
    </w:p>
    <w:p w14:paraId="3E9C219B" w14:textId="77777777" w:rsidR="008F1610" w:rsidRPr="00BD0E2C" w:rsidRDefault="008F1610" w:rsidP="008F1610">
      <w:pPr>
        <w:spacing w:after="120"/>
        <w:ind w:left="2160"/>
      </w:pPr>
      <w:r w:rsidRPr="00BD0E2C">
        <w:t>51.0000 Health Science: Kinesiology Application</w:t>
      </w:r>
    </w:p>
    <w:p w14:paraId="06C1FC65" w14:textId="77777777" w:rsidR="008F1610" w:rsidRDefault="008F1610" w:rsidP="008F1610">
      <w:pPr>
        <w:spacing w:after="120"/>
        <w:ind w:left="2160"/>
      </w:pPr>
      <w:r w:rsidRPr="00BD0E2C">
        <w:t>51.3801 Nursing Application 50</w:t>
      </w:r>
    </w:p>
    <w:p w14:paraId="5AFC744C" w14:textId="77777777" w:rsidR="008F1610" w:rsidRDefault="008F1610" w:rsidP="008F1610">
      <w:pPr>
        <w:spacing w:after="120"/>
        <w:ind w:left="2160"/>
      </w:pPr>
    </w:p>
    <w:p w14:paraId="22067E00" w14:textId="77777777" w:rsidR="008F1610" w:rsidRDefault="008F1610" w:rsidP="008F1610">
      <w:r w:rsidRPr="00C34AB1">
        <w:t xml:space="preserve">                        </w:t>
      </w:r>
      <w:r>
        <w:tab/>
      </w:r>
      <w:r w:rsidRPr="003108CB">
        <w:rPr>
          <w:b/>
          <w:bCs/>
        </w:rPr>
        <w:t>Proposed Action:</w:t>
      </w:r>
      <w:r w:rsidRPr="00C34AB1">
        <w:t xml:space="preserve"> </w:t>
      </w:r>
      <w:r w:rsidRPr="00BD0E2C">
        <w:t>Approval; Motion and Second Required</w:t>
      </w:r>
    </w:p>
    <w:p w14:paraId="6E1C792C" w14:textId="77777777" w:rsidR="008F1610" w:rsidRDefault="008F1610" w:rsidP="008F1610">
      <w:pPr>
        <w:spacing w:after="0"/>
        <w:ind w:left="1440" w:hanging="1440"/>
      </w:pPr>
    </w:p>
    <w:p w14:paraId="55618F82" w14:textId="77777777" w:rsidR="008F1610" w:rsidRDefault="008F1610" w:rsidP="008F1610">
      <w:pPr>
        <w:pStyle w:val="Heading2"/>
        <w:ind w:left="1440" w:hanging="1440"/>
      </w:pPr>
      <w:r w:rsidRPr="00175284">
        <w:t xml:space="preserve">Item </w:t>
      </w:r>
      <w:r>
        <w:t>6</w:t>
      </w:r>
      <w:r>
        <w:tab/>
        <w:t>2022 Florida Equity Act Report</w:t>
      </w:r>
      <w:r>
        <w:tab/>
      </w:r>
    </w:p>
    <w:p w14:paraId="1ACB5841" w14:textId="77777777" w:rsidR="008F1610" w:rsidRDefault="008F1610" w:rsidP="008F1610">
      <w:pPr>
        <w:spacing w:after="0" w:line="240" w:lineRule="auto"/>
        <w:ind w:left="1440" w:hanging="1440"/>
      </w:pPr>
      <w:r w:rsidRPr="007B75D6">
        <w:tab/>
      </w:r>
      <w:r>
        <w:t xml:space="preserve">The Florida Educational Equity Act (Section 1000.05 F.S.) and the Florida Board of Governors Regulation 2.003, entitled Equity and Access, require the submission of an annual report, which addresses student participation in educational programs or courses without discrimination based on race/ethnicity, or gender; academic programs analyses; gender analyses; gender equity in athletics; and appropriate representation of women and racial/ethnic minorities in senior level administrative, tenured and tenure-track faculty positions. Ms. </w:t>
      </w:r>
      <w:proofErr w:type="spellStart"/>
      <w:r>
        <w:t>Marlynn</w:t>
      </w:r>
      <w:proofErr w:type="spellEnd"/>
      <w:r>
        <w:t xml:space="preserve"> Jones, Director of the Office of Equal </w:t>
      </w:r>
      <w:proofErr w:type="gramStart"/>
      <w:r>
        <w:t>Opportunity</w:t>
      </w:r>
      <w:proofErr w:type="gramEnd"/>
      <w:r>
        <w:t xml:space="preserve"> and Inclusion, will present the 2022 Florida Equity Act Report.</w:t>
      </w:r>
    </w:p>
    <w:p w14:paraId="060569EB" w14:textId="77777777" w:rsidR="008F1610" w:rsidRDefault="008F1610" w:rsidP="008F1610">
      <w:pPr>
        <w:spacing w:after="0" w:line="240" w:lineRule="auto"/>
        <w:ind w:left="1440" w:hanging="1440"/>
      </w:pPr>
    </w:p>
    <w:p w14:paraId="18BD079C" w14:textId="77777777" w:rsidR="008F1610" w:rsidRDefault="008F1610" w:rsidP="008F1610">
      <w:pPr>
        <w:spacing w:after="0" w:line="240" w:lineRule="auto"/>
        <w:ind w:left="1440"/>
      </w:pPr>
      <w:r w:rsidRPr="00494482">
        <w:rPr>
          <w:b/>
          <w:bCs/>
        </w:rPr>
        <w:t>Proposed Action:</w:t>
      </w:r>
      <w:r>
        <w:t xml:space="preserve"> Approval; Motion and Second Required</w:t>
      </w:r>
    </w:p>
    <w:p w14:paraId="26D997BB" w14:textId="77777777" w:rsidR="008F1610" w:rsidRDefault="008F1610" w:rsidP="008F1610">
      <w:pPr>
        <w:spacing w:after="0" w:line="240" w:lineRule="auto"/>
        <w:ind w:left="1440"/>
      </w:pPr>
    </w:p>
    <w:p w14:paraId="049EB349" w14:textId="77777777" w:rsidR="008F1610" w:rsidRDefault="008F1610" w:rsidP="008F1610">
      <w:pPr>
        <w:spacing w:after="0" w:line="240" w:lineRule="auto"/>
        <w:ind w:left="1440" w:hanging="1440"/>
      </w:pPr>
    </w:p>
    <w:p w14:paraId="57509C88" w14:textId="77777777" w:rsidR="008F1610" w:rsidRDefault="008F1610" w:rsidP="008F1610">
      <w:pPr>
        <w:pStyle w:val="Heading2"/>
        <w:ind w:left="1440" w:hanging="1440"/>
      </w:pPr>
      <w:r w:rsidRPr="001E3AB5">
        <w:t xml:space="preserve">Item </w:t>
      </w:r>
      <w:r>
        <w:t>7</w:t>
      </w:r>
      <w:r>
        <w:tab/>
      </w:r>
      <w:r w:rsidRPr="00830428">
        <w:t xml:space="preserve">Discussion and Consideration of President's Goals for </w:t>
      </w:r>
      <w:r>
        <w:t>2022-2023</w:t>
      </w:r>
    </w:p>
    <w:p w14:paraId="4A920345" w14:textId="77777777" w:rsidR="008F1610" w:rsidRDefault="008F1610" w:rsidP="008F1610">
      <w:pPr>
        <w:spacing w:after="0" w:line="240" w:lineRule="auto"/>
        <w:ind w:left="1440"/>
      </w:pPr>
      <w:r>
        <w:t>President Limayem will present 2022-2023 First Year Presidential Goals for Board review and consideration.</w:t>
      </w:r>
    </w:p>
    <w:p w14:paraId="5E943D30" w14:textId="77777777" w:rsidR="008F1610" w:rsidRPr="00E80560" w:rsidRDefault="008F1610" w:rsidP="008F1610">
      <w:pPr>
        <w:spacing w:after="0" w:line="240" w:lineRule="auto"/>
        <w:ind w:left="1440"/>
        <w:rPr>
          <w:i/>
          <w:iCs/>
        </w:rPr>
      </w:pPr>
    </w:p>
    <w:p w14:paraId="77FC5372" w14:textId="77777777" w:rsidR="008F1610" w:rsidRDefault="008F1610" w:rsidP="008F1610">
      <w:pPr>
        <w:spacing w:after="0" w:line="240" w:lineRule="auto"/>
        <w:ind w:left="1440"/>
      </w:pPr>
      <w:r w:rsidRPr="00494482">
        <w:rPr>
          <w:b/>
          <w:bCs/>
        </w:rPr>
        <w:t>Proposed Action:</w:t>
      </w:r>
      <w:r>
        <w:t xml:space="preserve"> Approval; Motion and Second Required</w:t>
      </w:r>
    </w:p>
    <w:p w14:paraId="261A23AB" w14:textId="77777777" w:rsidR="008F1610" w:rsidRDefault="008F1610" w:rsidP="008F1610">
      <w:pPr>
        <w:spacing w:after="0" w:line="240" w:lineRule="auto"/>
        <w:ind w:left="1440"/>
      </w:pPr>
    </w:p>
    <w:p w14:paraId="53D71649" w14:textId="77777777" w:rsidR="008F1610" w:rsidRDefault="008F1610" w:rsidP="008F1610">
      <w:pPr>
        <w:pStyle w:val="Heading2"/>
        <w:ind w:left="1440" w:hanging="1440"/>
      </w:pPr>
      <w:r w:rsidRPr="001E3AB5">
        <w:t xml:space="preserve">Item </w:t>
      </w:r>
      <w:r>
        <w:t>8</w:t>
      </w:r>
      <w:r>
        <w:tab/>
      </w:r>
      <w:r w:rsidRPr="001E3AB5">
        <w:t>Adjournment</w:t>
      </w:r>
    </w:p>
    <w:p w14:paraId="04D3E0AA" w14:textId="77777777" w:rsidR="00D1739E" w:rsidRDefault="00D1739E"/>
    <w:sectPr w:rsidR="00D173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04F1" w14:textId="77777777" w:rsidR="008F1610" w:rsidRDefault="008F1610" w:rsidP="008F1610">
      <w:pPr>
        <w:spacing w:after="0" w:line="240" w:lineRule="auto"/>
      </w:pPr>
      <w:r>
        <w:separator/>
      </w:r>
    </w:p>
  </w:endnote>
  <w:endnote w:type="continuationSeparator" w:id="0">
    <w:p w14:paraId="1207F885" w14:textId="77777777" w:rsidR="008F1610" w:rsidRDefault="008F1610" w:rsidP="008F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9866" w14:textId="77777777" w:rsidR="008F1610" w:rsidRDefault="008F1610" w:rsidP="008F1610">
      <w:pPr>
        <w:spacing w:after="0" w:line="240" w:lineRule="auto"/>
      </w:pPr>
      <w:r>
        <w:separator/>
      </w:r>
    </w:p>
  </w:footnote>
  <w:footnote w:type="continuationSeparator" w:id="0">
    <w:p w14:paraId="197F44BD" w14:textId="77777777" w:rsidR="008F1610" w:rsidRDefault="008F1610" w:rsidP="008F1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C4A3" w14:textId="77777777" w:rsidR="008F1610" w:rsidRPr="008F1610" w:rsidRDefault="008F1610" w:rsidP="008F1610">
    <w:pPr>
      <w:tabs>
        <w:tab w:val="center" w:pos="4680"/>
        <w:tab w:val="right" w:pos="9360"/>
      </w:tabs>
      <w:spacing w:after="0" w:line="240" w:lineRule="auto"/>
      <w:jc w:val="center"/>
    </w:pPr>
    <w:r w:rsidRPr="008F1610">
      <w:rPr>
        <w:noProof/>
      </w:rPr>
      <w:drawing>
        <wp:inline distT="0" distB="0" distL="0" distR="0" wp14:anchorId="0C6CA58B" wp14:editId="3F17729A">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621980E" w14:textId="77777777" w:rsidR="008F1610" w:rsidRPr="008F1610" w:rsidRDefault="008F1610" w:rsidP="008F1610">
    <w:pPr>
      <w:tabs>
        <w:tab w:val="center" w:pos="4680"/>
        <w:tab w:val="right" w:pos="9360"/>
      </w:tabs>
      <w:spacing w:after="0" w:line="240" w:lineRule="auto"/>
      <w:jc w:val="center"/>
    </w:pPr>
  </w:p>
  <w:p w14:paraId="71D307DB" w14:textId="77777777" w:rsidR="008F1610" w:rsidRPr="008F1610" w:rsidRDefault="008F1610" w:rsidP="008F1610">
    <w:pPr>
      <w:tabs>
        <w:tab w:val="center" w:pos="4680"/>
        <w:tab w:val="right" w:pos="9360"/>
      </w:tabs>
      <w:spacing w:after="0" w:line="240" w:lineRule="auto"/>
      <w:jc w:val="center"/>
      <w:rPr>
        <w:b/>
        <w:sz w:val="24"/>
        <w:szCs w:val="24"/>
      </w:rPr>
    </w:pPr>
    <w:r w:rsidRPr="008F1610">
      <w:rPr>
        <w:b/>
        <w:sz w:val="24"/>
        <w:szCs w:val="24"/>
      </w:rPr>
      <w:t>Board of Trustees Meeting</w:t>
    </w:r>
  </w:p>
  <w:p w14:paraId="47E1544B" w14:textId="77777777" w:rsidR="008F1610" w:rsidRPr="008F1610" w:rsidRDefault="008F1610" w:rsidP="008F1610">
    <w:pPr>
      <w:tabs>
        <w:tab w:val="center" w:pos="4680"/>
        <w:tab w:val="right" w:pos="9360"/>
      </w:tabs>
      <w:spacing w:after="0" w:line="240" w:lineRule="auto"/>
      <w:jc w:val="center"/>
      <w:rPr>
        <w:i/>
        <w:sz w:val="24"/>
        <w:szCs w:val="24"/>
      </w:rPr>
    </w:pPr>
    <w:r w:rsidRPr="008F1610">
      <w:rPr>
        <w:b/>
        <w:sz w:val="24"/>
        <w:szCs w:val="24"/>
      </w:rPr>
      <w:t>August 11, 2022</w:t>
    </w:r>
  </w:p>
  <w:p w14:paraId="2A6BA547" w14:textId="77777777" w:rsidR="008F1610" w:rsidRPr="008F1610" w:rsidRDefault="008F1610" w:rsidP="008F1610">
    <w:pPr>
      <w:tabs>
        <w:tab w:val="center" w:pos="4680"/>
        <w:tab w:val="right" w:pos="9360"/>
      </w:tabs>
      <w:spacing w:after="0" w:line="240" w:lineRule="auto"/>
      <w:jc w:val="center"/>
      <w:rPr>
        <w:iCs/>
        <w:sz w:val="24"/>
        <w:szCs w:val="24"/>
      </w:rPr>
    </w:pPr>
  </w:p>
  <w:p w14:paraId="7EB05B12" w14:textId="77777777" w:rsidR="008F1610" w:rsidRPr="008F1610" w:rsidRDefault="008F1610" w:rsidP="008F1610">
    <w:pPr>
      <w:tabs>
        <w:tab w:val="center" w:pos="4680"/>
        <w:tab w:val="right" w:pos="9360"/>
      </w:tabs>
      <w:spacing w:after="0" w:line="240" w:lineRule="auto"/>
      <w:jc w:val="center"/>
      <w:rPr>
        <w:iCs/>
        <w:sz w:val="24"/>
        <w:szCs w:val="24"/>
      </w:rPr>
    </w:pPr>
    <w:r w:rsidRPr="008F1610">
      <w:rPr>
        <w:iCs/>
        <w:sz w:val="24"/>
        <w:szCs w:val="24"/>
      </w:rPr>
      <w:t>11:00 a.m. – 1:00 p.m.</w:t>
    </w:r>
  </w:p>
  <w:p w14:paraId="4EA2D047" w14:textId="77777777" w:rsidR="008F1610" w:rsidRPr="008F1610" w:rsidRDefault="008F1610" w:rsidP="008F1610">
    <w:pPr>
      <w:tabs>
        <w:tab w:val="center" w:pos="4680"/>
        <w:tab w:val="right" w:pos="9360"/>
      </w:tabs>
      <w:spacing w:after="0" w:line="240" w:lineRule="auto"/>
      <w:rPr>
        <w:i/>
        <w:iCs/>
        <w:sz w:val="24"/>
        <w:szCs w:val="24"/>
      </w:rPr>
    </w:pPr>
  </w:p>
  <w:p w14:paraId="571D0EAE" w14:textId="77777777" w:rsidR="008F1610" w:rsidRPr="008F1610" w:rsidRDefault="008F1610" w:rsidP="008F1610">
    <w:pPr>
      <w:spacing w:after="0"/>
      <w:jc w:val="center"/>
      <w:rPr>
        <w:rFonts w:eastAsia="Times New Roman" w:cs="Times New Roman"/>
        <w:i/>
        <w:iCs/>
      </w:rPr>
    </w:pPr>
    <w:r w:rsidRPr="008F1610">
      <w:rPr>
        <w:rFonts w:eastAsia="Times New Roman" w:cs="Times New Roman"/>
        <w:i/>
        <w:iCs/>
      </w:rPr>
      <w:t>Student Union</w:t>
    </w:r>
  </w:p>
  <w:p w14:paraId="10C90FB7" w14:textId="77777777" w:rsidR="008F1610" w:rsidRPr="008F1610" w:rsidRDefault="008F1610" w:rsidP="008F1610">
    <w:pPr>
      <w:spacing w:after="0"/>
      <w:jc w:val="center"/>
      <w:rPr>
        <w:rFonts w:eastAsia="Times New Roman" w:cs="Times New Roman"/>
        <w:i/>
        <w:iCs/>
      </w:rPr>
    </w:pPr>
    <w:r w:rsidRPr="008F1610">
      <w:rPr>
        <w:rFonts w:eastAsia="Times New Roman" w:cs="Times New Roman"/>
        <w:i/>
        <w:iCs/>
      </w:rPr>
      <w:t>Ballroom C&amp;D</w:t>
    </w:r>
  </w:p>
  <w:p w14:paraId="07768A73" w14:textId="77777777" w:rsidR="008F1610" w:rsidRDefault="008F1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0"/>
    <w:rsid w:val="002364A5"/>
    <w:rsid w:val="008F1610"/>
    <w:rsid w:val="00D1739E"/>
    <w:rsid w:val="00FA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CA38"/>
  <w15:chartTrackingRefBased/>
  <w15:docId w15:val="{D5EF3F50-BB6B-4FF6-BAAE-154A823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10"/>
    <w:rPr>
      <w:rFonts w:ascii="Book Antiqua" w:hAnsi="Book Antiqua"/>
    </w:rPr>
  </w:style>
  <w:style w:type="paragraph" w:styleId="Heading1">
    <w:name w:val="heading 1"/>
    <w:basedOn w:val="Normal"/>
    <w:next w:val="Normal"/>
    <w:link w:val="Heading1Char"/>
    <w:uiPriority w:val="9"/>
    <w:qFormat/>
    <w:rsid w:val="008F1610"/>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8F1610"/>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610"/>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8F1610"/>
  </w:style>
  <w:style w:type="paragraph" w:styleId="Footer">
    <w:name w:val="footer"/>
    <w:basedOn w:val="Normal"/>
    <w:link w:val="FooterChar"/>
    <w:uiPriority w:val="99"/>
    <w:unhideWhenUsed/>
    <w:rsid w:val="008F1610"/>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8F1610"/>
  </w:style>
  <w:style w:type="character" w:customStyle="1" w:styleId="Heading1Char">
    <w:name w:val="Heading 1 Char"/>
    <w:basedOn w:val="DefaultParagraphFont"/>
    <w:link w:val="Heading1"/>
    <w:uiPriority w:val="9"/>
    <w:rsid w:val="008F1610"/>
    <w:rPr>
      <w:rFonts w:ascii="Book Antiqua" w:hAnsi="Book Antiqua"/>
      <w:bCs/>
      <w:sz w:val="24"/>
      <w:szCs w:val="24"/>
    </w:rPr>
  </w:style>
  <w:style w:type="character" w:customStyle="1" w:styleId="Heading2Char">
    <w:name w:val="Heading 2 Char"/>
    <w:basedOn w:val="DefaultParagraphFont"/>
    <w:link w:val="Heading2"/>
    <w:uiPriority w:val="9"/>
    <w:rsid w:val="008F1610"/>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cp:revision>
  <dcterms:created xsi:type="dcterms:W3CDTF">2023-06-16T16:54:00Z</dcterms:created>
  <dcterms:modified xsi:type="dcterms:W3CDTF">2023-06-16T16:55:00Z</dcterms:modified>
</cp:coreProperties>
</file>