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71D76" w14:textId="16835070" w:rsidR="002D4896" w:rsidRPr="00A35E19" w:rsidRDefault="004125EE" w:rsidP="009F77F6">
      <w:pPr>
        <w:pStyle w:val="Heading1"/>
        <w:spacing w:before="240"/>
        <w:ind w:left="0" w:firstLine="0"/>
        <w:rPr>
          <w:b/>
          <w:bCs w:val="0"/>
        </w:rPr>
      </w:pPr>
      <w:r w:rsidRPr="00BF47FF">
        <w:rPr>
          <w:b/>
          <w:bCs w:val="0"/>
        </w:rPr>
        <w:t>AGENDA</w:t>
      </w:r>
    </w:p>
    <w:p w14:paraId="208244A1" w14:textId="4D0F2D38" w:rsidR="003F4DCE" w:rsidRPr="00BF47FF" w:rsidRDefault="003F4DCE" w:rsidP="00A35E19">
      <w:pPr>
        <w:pStyle w:val="Heading2"/>
        <w:spacing w:before="240"/>
      </w:pPr>
      <w:r w:rsidRPr="00BF47FF">
        <w:t xml:space="preserve">Item 1 </w:t>
      </w:r>
      <w:r w:rsidRPr="00BF47FF">
        <w:tab/>
        <w:t>Call to Order</w:t>
      </w:r>
      <w:r w:rsidR="00FC2781">
        <w:t xml:space="preserve"> </w:t>
      </w:r>
    </w:p>
    <w:p w14:paraId="408F875D" w14:textId="76961DE9" w:rsidR="003F4DCE" w:rsidRPr="00ED1428" w:rsidRDefault="003F4DCE" w:rsidP="00FC2781">
      <w:pPr>
        <w:ind w:left="2430" w:hanging="2430"/>
      </w:pPr>
      <w:r w:rsidRPr="00ED1428">
        <w:tab/>
        <w:t xml:space="preserve">Chair </w:t>
      </w:r>
      <w:r w:rsidR="00160ED4">
        <w:t>Egan</w:t>
      </w:r>
      <w:r w:rsidRPr="00ED1428">
        <w:t xml:space="preserve"> will call the </w:t>
      </w:r>
      <w:r w:rsidR="00FC2781">
        <w:t>Committee to order and will call the Roll of Committee members.</w:t>
      </w:r>
      <w:r w:rsidRPr="00ED1428">
        <w:t xml:space="preserve"> </w:t>
      </w:r>
    </w:p>
    <w:p w14:paraId="5D48E16F" w14:textId="77777777" w:rsidR="003F4DCE" w:rsidRPr="00ED1428" w:rsidRDefault="003F4DCE" w:rsidP="003F4DCE">
      <w:pPr>
        <w:spacing w:after="0" w:line="240" w:lineRule="auto"/>
        <w:ind w:left="2434"/>
      </w:pPr>
    </w:p>
    <w:p w14:paraId="4FFD59AE" w14:textId="623A3A08" w:rsidR="003F4DCE" w:rsidRPr="00ED1428" w:rsidRDefault="003F4DCE" w:rsidP="00ED7AFA">
      <w:pPr>
        <w:pStyle w:val="Heading2"/>
      </w:pPr>
      <w:r w:rsidRPr="00ED1428">
        <w:t>Item 2</w:t>
      </w:r>
      <w:r w:rsidRPr="00ED1428">
        <w:tab/>
        <w:t xml:space="preserve">Public Comment </w:t>
      </w:r>
    </w:p>
    <w:p w14:paraId="456659CD" w14:textId="09382531" w:rsidR="003F4DCE" w:rsidRPr="00ED1428" w:rsidRDefault="003F4DCE" w:rsidP="00ED7AFA">
      <w:pPr>
        <w:spacing w:after="0" w:line="240" w:lineRule="auto"/>
        <w:ind w:left="2430"/>
      </w:pPr>
      <w:r w:rsidRPr="00ED1428">
        <w:t xml:space="preserve">Chair </w:t>
      </w:r>
      <w:r w:rsidR="004E5CCC">
        <w:t xml:space="preserve">Egan </w:t>
      </w:r>
      <w:r w:rsidRPr="00ED1428">
        <w:t>will offer those in attendance the opportunity for public comment.</w:t>
      </w:r>
    </w:p>
    <w:p w14:paraId="028FF567" w14:textId="77777777" w:rsidR="003F4DCE" w:rsidRPr="00ED1428" w:rsidRDefault="003F4DCE" w:rsidP="003F4DCE">
      <w:pPr>
        <w:spacing w:after="0"/>
      </w:pPr>
    </w:p>
    <w:p w14:paraId="0C59EBAA" w14:textId="2B3B4EE9" w:rsidR="00FC2781" w:rsidRDefault="003F4DCE" w:rsidP="00873F68">
      <w:pPr>
        <w:pStyle w:val="Heading2"/>
      </w:pPr>
      <w:r w:rsidRPr="00ED1428">
        <w:t>Item 3</w:t>
      </w:r>
      <w:r w:rsidR="00FF3E34">
        <w:tab/>
      </w:r>
      <w:r w:rsidRPr="00ED1428">
        <w:t>Consent Agenda</w:t>
      </w:r>
    </w:p>
    <w:p w14:paraId="7855BBA1" w14:textId="02A861F2" w:rsidR="00E17F76" w:rsidRPr="004E5CCC" w:rsidRDefault="00E16849" w:rsidP="004E5CCC">
      <w:pPr>
        <w:ind w:left="2430"/>
        <w:rPr>
          <w:bCs/>
        </w:rPr>
      </w:pPr>
      <w:r>
        <w:t>-</w:t>
      </w:r>
      <w:r w:rsidR="004E5CCC" w:rsidRPr="004E5CCC">
        <w:t xml:space="preserve">Draft January 24, </w:t>
      </w:r>
      <w:proofErr w:type="gramStart"/>
      <w:r w:rsidR="004E5CCC" w:rsidRPr="004E5CCC">
        <w:t>2022</w:t>
      </w:r>
      <w:proofErr w:type="gramEnd"/>
      <w:r w:rsidR="004E5CCC" w:rsidRPr="004E5CCC">
        <w:t xml:space="preserve"> Academic and Student Affairs Committee Meeting Minutes</w:t>
      </w:r>
    </w:p>
    <w:p w14:paraId="2EDA501D" w14:textId="1FC66946" w:rsidR="003F4DCE" w:rsidRPr="00ED1428" w:rsidRDefault="00B16A7C" w:rsidP="00C1218B">
      <w:pPr>
        <w:spacing w:after="0" w:line="240" w:lineRule="auto"/>
        <w:ind w:left="2433" w:hanging="43"/>
      </w:pPr>
      <w:r>
        <w:t xml:space="preserve"> </w:t>
      </w:r>
      <w:r w:rsidR="003F4DCE" w:rsidRPr="00ED1428">
        <w:rPr>
          <w:b/>
        </w:rPr>
        <w:t xml:space="preserve">Proposed Action: </w:t>
      </w:r>
      <w:r w:rsidR="003F4DCE" w:rsidRPr="00ED1428">
        <w:t>Approval; Motion and Second Required</w:t>
      </w:r>
    </w:p>
    <w:p w14:paraId="7A2EB1AB" w14:textId="77777777" w:rsidR="0085277F" w:rsidRDefault="0085277F" w:rsidP="00FC2781">
      <w:pPr>
        <w:shd w:val="clear" w:color="auto" w:fill="FFFFFF" w:themeFill="background1"/>
        <w:spacing w:after="0" w:line="240" w:lineRule="auto"/>
        <w:rPr>
          <w:bCs/>
          <w:i/>
          <w:iCs/>
        </w:rPr>
      </w:pPr>
    </w:p>
    <w:p w14:paraId="450A8339" w14:textId="289F167E" w:rsidR="003B383E" w:rsidRDefault="003B383E" w:rsidP="00FC2781">
      <w:pPr>
        <w:shd w:val="clear" w:color="auto" w:fill="FFFFFF" w:themeFill="background1"/>
        <w:spacing w:after="0" w:line="240" w:lineRule="auto"/>
        <w:rPr>
          <w:bCs/>
          <w:i/>
          <w:iCs/>
        </w:rPr>
      </w:pPr>
      <w:r>
        <w:rPr>
          <w:bCs/>
          <w:i/>
          <w:iCs/>
        </w:rPr>
        <w:t xml:space="preserve">8:00 am – </w:t>
      </w:r>
    </w:p>
    <w:p w14:paraId="6C327CAA" w14:textId="683D0E63" w:rsidR="00FC2781" w:rsidRPr="000D163C" w:rsidRDefault="003B383E" w:rsidP="00FC2781">
      <w:pPr>
        <w:shd w:val="clear" w:color="auto" w:fill="FFFFFF" w:themeFill="background1"/>
        <w:spacing w:after="0" w:line="240" w:lineRule="auto"/>
        <w:rPr>
          <w:bCs/>
          <w:i/>
          <w:iCs/>
        </w:rPr>
      </w:pPr>
      <w:r>
        <w:rPr>
          <w:bCs/>
          <w:i/>
          <w:iCs/>
        </w:rPr>
        <w:t>8:</w:t>
      </w:r>
      <w:r w:rsidR="00035B6B">
        <w:rPr>
          <w:bCs/>
          <w:i/>
          <w:iCs/>
        </w:rPr>
        <w:t>15</w:t>
      </w:r>
      <w:r>
        <w:rPr>
          <w:bCs/>
          <w:i/>
          <w:iCs/>
        </w:rPr>
        <w:t xml:space="preserve"> am</w:t>
      </w:r>
    </w:p>
    <w:p w14:paraId="3F677F9D" w14:textId="5BBB92C4" w:rsidR="00FC2781" w:rsidRDefault="00FC2781" w:rsidP="00457DE4">
      <w:pPr>
        <w:pStyle w:val="Heading2"/>
      </w:pPr>
      <w:r w:rsidRPr="00FC2781">
        <w:t xml:space="preserve">Item </w:t>
      </w:r>
      <w:r w:rsidR="0045431C">
        <w:t>4</w:t>
      </w:r>
      <w:r w:rsidRPr="00FC2781">
        <w:tab/>
      </w:r>
      <w:r w:rsidR="00457DE4">
        <w:t xml:space="preserve"> </w:t>
      </w:r>
      <w:r w:rsidR="004E5CCC" w:rsidRPr="004E5CCC">
        <w:t>Proposed New Regulation – 2.1080R Eminent Scholars Program</w:t>
      </w:r>
    </w:p>
    <w:p w14:paraId="7C0C3A34" w14:textId="38DD5474" w:rsidR="000245B3" w:rsidRDefault="000245B3" w:rsidP="004E5CCC">
      <w:pPr>
        <w:shd w:val="clear" w:color="auto" w:fill="FFFFFF" w:themeFill="background1"/>
        <w:spacing w:after="0" w:line="240" w:lineRule="auto"/>
        <w:ind w:left="2520"/>
        <w:rPr>
          <w:bCs/>
        </w:rPr>
      </w:pPr>
      <w:r w:rsidRPr="000245B3">
        <w:rPr>
          <w:bCs/>
        </w:rPr>
        <w:t xml:space="preserve">Board of Governors Regulation 9.019 requires each university to adopt a regulation for the administration of its Eminent Scholars Program. This regulation conforms to Board of Governors requirements and provides guidance regarding the expenditure of funds under </w:t>
      </w:r>
      <w:r>
        <w:rPr>
          <w:bCs/>
        </w:rPr>
        <w:t>University of North Florida</w:t>
      </w:r>
      <w:r w:rsidRPr="000245B3">
        <w:rPr>
          <w:bCs/>
        </w:rPr>
        <w:t xml:space="preserve">’s Eminent Scholar Program.  University Development and Alumni Engagement and Academic </w:t>
      </w:r>
      <w:r>
        <w:rPr>
          <w:bCs/>
        </w:rPr>
        <w:t>a</w:t>
      </w:r>
      <w:r w:rsidRPr="000245B3">
        <w:rPr>
          <w:bCs/>
        </w:rPr>
        <w:t xml:space="preserve">nd Student Affairs moved this policy forward and Compliance, Ethics and Risk Oversight Committee has approved.  </w:t>
      </w:r>
      <w:r w:rsidR="00875BB1">
        <w:rPr>
          <w:bCs/>
        </w:rPr>
        <w:t>Dr. Joann Campbell, Chief Compliance Officer, will present this item.</w:t>
      </w:r>
    </w:p>
    <w:p w14:paraId="278859BC" w14:textId="77777777" w:rsidR="0085277F" w:rsidRDefault="0085277F" w:rsidP="004E5CCC">
      <w:pPr>
        <w:shd w:val="clear" w:color="auto" w:fill="FFFFFF" w:themeFill="background1"/>
        <w:spacing w:after="0" w:line="240" w:lineRule="auto"/>
        <w:ind w:left="2520"/>
        <w:rPr>
          <w:b/>
        </w:rPr>
      </w:pPr>
    </w:p>
    <w:p w14:paraId="1E2C747E" w14:textId="6C62DB6A" w:rsidR="004E5CCC" w:rsidRPr="004E5CCC" w:rsidRDefault="004E5CCC" w:rsidP="004E5CCC">
      <w:pPr>
        <w:shd w:val="clear" w:color="auto" w:fill="FFFFFF" w:themeFill="background1"/>
        <w:spacing w:after="0" w:line="240" w:lineRule="auto"/>
        <w:ind w:left="2520"/>
        <w:rPr>
          <w:b/>
        </w:rPr>
      </w:pPr>
      <w:r w:rsidRPr="00FC2781">
        <w:rPr>
          <w:b/>
        </w:rPr>
        <w:t>Proposed Action:</w:t>
      </w:r>
      <w:r w:rsidRPr="00FC2781">
        <w:t xml:space="preserve"> Approval; Motion and Second Required</w:t>
      </w:r>
    </w:p>
    <w:p w14:paraId="245481EB" w14:textId="2A7DB9A0" w:rsidR="004E5CCC" w:rsidRDefault="004E5CCC" w:rsidP="00FC2781">
      <w:pPr>
        <w:spacing w:after="0" w:line="240" w:lineRule="auto"/>
        <w:rPr>
          <w:b/>
        </w:rPr>
      </w:pPr>
    </w:p>
    <w:p w14:paraId="7956A867" w14:textId="1E458A0F" w:rsidR="00875BB1" w:rsidRDefault="00875BB1" w:rsidP="00875BB1">
      <w:pPr>
        <w:pStyle w:val="Heading2"/>
        <w:ind w:left="2520" w:hanging="2520"/>
      </w:pPr>
      <w:r w:rsidRPr="00FC2781">
        <w:t xml:space="preserve">Item </w:t>
      </w:r>
      <w:r>
        <w:t>5</w:t>
      </w:r>
      <w:r>
        <w:tab/>
      </w:r>
      <w:r w:rsidRPr="004E5CCC">
        <w:t>Proposed Amended Regulation – 2.0470R Financial Aid</w:t>
      </w:r>
    </w:p>
    <w:p w14:paraId="0C8766C4" w14:textId="0267DFCD" w:rsidR="00875BB1" w:rsidRDefault="00875BB1" w:rsidP="00875BB1">
      <w:pPr>
        <w:ind w:left="2520"/>
      </w:pPr>
      <w:r>
        <w:t>This r</w:t>
      </w:r>
      <w:r w:rsidRPr="000245B3">
        <w:t>egulation</w:t>
      </w:r>
      <w:r>
        <w:t xml:space="preserve"> was</w:t>
      </w:r>
      <w:r w:rsidRPr="000245B3">
        <w:t xml:space="preserve"> updated to better align with Board of Governors requirements and address recommendations resulting from a recent internal audit.  Changes include designation of Student Financial Aid as the single office designated to coordinate and administer financial aid and scholarships, updating the members of the Financial Aid Policy Committee and reactivating the Committee, creating a workgroup of college and other scholarship coordinators to enhance communications, coordination, and compliance in allocating scholarship dollars, and designating Institutional Research as the office to coordinate the collection of data for all financial aid programs.  Academic </w:t>
      </w:r>
      <w:r>
        <w:t>a</w:t>
      </w:r>
      <w:r w:rsidRPr="000245B3">
        <w:t xml:space="preserve">nd Student Affairs moved this policy forward and Compliance, Ethics </w:t>
      </w:r>
      <w:r>
        <w:t>a</w:t>
      </w:r>
      <w:r w:rsidRPr="000245B3">
        <w:t>nd Risk Oversight Committee has approved.</w:t>
      </w:r>
      <w:r>
        <w:t xml:space="preserve">  </w:t>
      </w:r>
      <w:r w:rsidRPr="00875BB1">
        <w:t>Dr. Joann Campbell, Chief Compliance Officer, will present this item.</w:t>
      </w:r>
    </w:p>
    <w:p w14:paraId="76B84FD9" w14:textId="77777777" w:rsidR="00EC3EB4" w:rsidRPr="009C2C32" w:rsidRDefault="00EC3EB4" w:rsidP="00EC3EB4">
      <w:pPr>
        <w:ind w:left="2520"/>
      </w:pPr>
      <w:r w:rsidRPr="00FC2781">
        <w:rPr>
          <w:b/>
        </w:rPr>
        <w:t>Proposed Action:</w:t>
      </w:r>
      <w:r w:rsidRPr="00FC2781">
        <w:t xml:space="preserve"> Approval; Motion and Second Required</w:t>
      </w:r>
    </w:p>
    <w:p w14:paraId="66015BB1" w14:textId="77777777" w:rsidR="003D13DF" w:rsidRDefault="003D13DF" w:rsidP="00875BB1">
      <w:pPr>
        <w:ind w:left="2520"/>
      </w:pPr>
    </w:p>
    <w:p w14:paraId="04EAB19F" w14:textId="3AA946E3" w:rsidR="001F4822" w:rsidRPr="00FC2781" w:rsidRDefault="00FC2781" w:rsidP="001F4822">
      <w:pPr>
        <w:pStyle w:val="Heading2"/>
        <w:ind w:left="2520" w:hanging="2520"/>
        <w:rPr>
          <w:bCs/>
        </w:rPr>
      </w:pPr>
      <w:r w:rsidRPr="00FC2781">
        <w:t xml:space="preserve">Item </w:t>
      </w:r>
      <w:r w:rsidR="00875BB1">
        <w:t>6</w:t>
      </w:r>
      <w:r w:rsidRPr="00FC2781">
        <w:tab/>
      </w:r>
      <w:r w:rsidR="004E5CCC" w:rsidRPr="004E5CCC">
        <w:rPr>
          <w:bCs/>
        </w:rPr>
        <w:t>Proposed Amended Regulation – 5.0070R Religious Accommodations for Student and Employees</w:t>
      </w:r>
    </w:p>
    <w:p w14:paraId="39637ABF" w14:textId="23CA036C" w:rsidR="00875BB1" w:rsidRDefault="000245B3" w:rsidP="00875BB1">
      <w:pPr>
        <w:ind w:left="2520"/>
      </w:pPr>
      <w:r w:rsidRPr="000245B3">
        <w:t xml:space="preserve">Religious accommodations for students and employees </w:t>
      </w:r>
      <w:r>
        <w:t xml:space="preserve">are </w:t>
      </w:r>
      <w:r w:rsidRPr="000245B3">
        <w:t xml:space="preserve">now addressed in the same Regulation. The updated Regulation also clarified the process for options for redress when </w:t>
      </w:r>
      <w:r>
        <w:t>a</w:t>
      </w:r>
      <w:r w:rsidRPr="000245B3">
        <w:t xml:space="preserve"> request for accommodation is denied. Academic </w:t>
      </w:r>
      <w:r>
        <w:t>a</w:t>
      </w:r>
      <w:r w:rsidRPr="000245B3">
        <w:t xml:space="preserve">nd Student Affairs moved this policy forward and Compliance, Ethics and Risk Oversight Committee has approved.  </w:t>
      </w:r>
      <w:r w:rsidR="00875BB1">
        <w:t>Justin Sorrell, Senior Associate General Counsel, will present this item.</w:t>
      </w:r>
    </w:p>
    <w:p w14:paraId="1ADC3394" w14:textId="25B9B3B8" w:rsidR="0036323E" w:rsidRPr="009C2C32" w:rsidRDefault="001F4822" w:rsidP="00875BB1">
      <w:pPr>
        <w:ind w:left="2520"/>
      </w:pPr>
      <w:r w:rsidRPr="00FC2781">
        <w:rPr>
          <w:b/>
        </w:rPr>
        <w:t>Proposed Action:</w:t>
      </w:r>
      <w:r w:rsidRPr="00FC2781">
        <w:t xml:space="preserve"> Approval; Motion and Second Required</w:t>
      </w:r>
    </w:p>
    <w:p w14:paraId="5E367034" w14:textId="770FC356" w:rsidR="0036323E" w:rsidRPr="003B383E" w:rsidRDefault="003B383E" w:rsidP="00846C65">
      <w:pPr>
        <w:spacing w:after="0"/>
        <w:rPr>
          <w:b/>
        </w:rPr>
      </w:pPr>
      <w:r w:rsidRPr="003B383E">
        <w:lastRenderedPageBreak/>
        <w:t>8:</w:t>
      </w:r>
      <w:r w:rsidR="00035B6B">
        <w:t>15</w:t>
      </w:r>
      <w:r w:rsidRPr="003B383E">
        <w:t xml:space="preserve"> am – </w:t>
      </w:r>
    </w:p>
    <w:p w14:paraId="41F43AE9" w14:textId="0877511B" w:rsidR="003B383E" w:rsidRPr="003B383E" w:rsidRDefault="003B383E" w:rsidP="00846C65">
      <w:pPr>
        <w:spacing w:after="0"/>
      </w:pPr>
      <w:r w:rsidRPr="003B383E">
        <w:t>8:</w:t>
      </w:r>
      <w:r w:rsidR="00035B6B">
        <w:t>45</w:t>
      </w:r>
      <w:r w:rsidRPr="003B383E">
        <w:t xml:space="preserve"> am</w:t>
      </w:r>
    </w:p>
    <w:p w14:paraId="5F1D167C" w14:textId="0CB3865E" w:rsidR="0045431C" w:rsidRDefault="001F4822" w:rsidP="009C2C32">
      <w:pPr>
        <w:pStyle w:val="Heading2"/>
        <w:spacing w:line="240" w:lineRule="auto"/>
        <w:ind w:left="2434" w:hanging="2434"/>
        <w:rPr>
          <w:bCs/>
        </w:rPr>
      </w:pPr>
      <w:r>
        <w:rPr>
          <w:bCs/>
        </w:rPr>
        <w:t xml:space="preserve">Item </w:t>
      </w:r>
      <w:r w:rsidR="0045431C">
        <w:rPr>
          <w:bCs/>
        </w:rPr>
        <w:t>7</w:t>
      </w:r>
      <w:r>
        <w:rPr>
          <w:bCs/>
        </w:rPr>
        <w:tab/>
      </w:r>
      <w:r w:rsidR="004E5CCC" w:rsidRPr="004E5CCC">
        <w:rPr>
          <w:bCs/>
        </w:rPr>
        <w:t>Proposed New Academic Program - B.S. in Biochemistry</w:t>
      </w:r>
    </w:p>
    <w:p w14:paraId="6FF7D911" w14:textId="7424C618" w:rsidR="0085277F" w:rsidRPr="0085277F" w:rsidRDefault="0085277F" w:rsidP="0085277F">
      <w:pPr>
        <w:ind w:left="2430"/>
      </w:pPr>
      <w:r w:rsidRPr="0085277F">
        <w:t>The overall purposes of the Biochemistry Bachelor of Science degree program are to meet the interdisciplinary educational needs of undergraduates with interests in chemistry and biology, enhance UNF’s STEM portfolio, and boost UNF’s contributions to development of the science and healthcare workforce in Florida. Through this program, undergraduates will develop multidisciplinary technical knowledge that will enable them to formulate solutions to complex science problems. Further, graduates from the program will also be well-qualified for admission into graduate programs in STEM (e.g., M.S. or Ph.D.) or professional programs in medical fields (e.g., M.D., D.D.S., Pharm.D.).</w:t>
      </w:r>
    </w:p>
    <w:p w14:paraId="0AED611A" w14:textId="76C2D7C8" w:rsidR="0085277F" w:rsidRDefault="0085277F" w:rsidP="0085277F">
      <w:pPr>
        <w:ind w:left="2430"/>
      </w:pPr>
      <w:r w:rsidRPr="0085277F">
        <w:t>Entry-level positions that require a bachelor’s degree in a chemistry related field are expected to grow 10% by 2026 nationwide. The Florida Department of Economic Opportunity projects 13.5% growth in employment of biochemists and biophysicists from 2020-2028 in Florida. Northeast Florida is home to approximately ten small and mid-size biochemical science and biotechnology companies as well as John</w:t>
      </w:r>
      <w:r w:rsidR="00E16849">
        <w:t>son</w:t>
      </w:r>
      <w:r w:rsidRPr="0085277F">
        <w:t xml:space="preserve"> &amp; Johnson </w:t>
      </w:r>
      <w:proofErr w:type="spellStart"/>
      <w:r w:rsidRPr="0085277F">
        <w:t>Visioncare</w:t>
      </w:r>
      <w:proofErr w:type="spellEnd"/>
      <w:r w:rsidRPr="0085277F">
        <w:t>, Mayo Clinic, and Revlon.  The growing prominence of the biochemical industry in northeast Florida increases the need for scientists trained in cutting-edge technologies at the interface of chemistry and biology. The proposed Biochemistry degree program will yield UNF graduates that are uniquely qualified to meet this need.</w:t>
      </w:r>
      <w:r w:rsidR="00DB5B41">
        <w:t xml:space="preserve">  </w:t>
      </w:r>
      <w:bookmarkStart w:id="0" w:name="_Hlk98745329"/>
      <w:proofErr w:type="gramStart"/>
      <w:r w:rsidR="003C12E0">
        <w:t>Dr. John Kant</w:t>
      </w:r>
      <w:r w:rsidR="00E3161B">
        <w:t>n</w:t>
      </w:r>
      <w:r w:rsidR="003C12E0">
        <w:t>er, Associate Vice President and Dean of Graduate Studies,</w:t>
      </w:r>
      <w:proofErr w:type="gramEnd"/>
      <w:r w:rsidR="00DB5B41">
        <w:t xml:space="preserve"> will present this item.</w:t>
      </w:r>
      <w:bookmarkEnd w:id="0"/>
    </w:p>
    <w:p w14:paraId="0D0F8DA8" w14:textId="0A616471" w:rsidR="0036323E" w:rsidRDefault="001F4822" w:rsidP="0085277F">
      <w:pPr>
        <w:ind w:left="2430"/>
      </w:pPr>
      <w:r w:rsidRPr="0036323E">
        <w:rPr>
          <w:b/>
          <w:bCs/>
        </w:rPr>
        <w:t xml:space="preserve">Proposed Action: </w:t>
      </w:r>
      <w:r w:rsidR="00273BFB" w:rsidRPr="0036323E">
        <w:t>Approval; Motion and Second Required</w:t>
      </w:r>
    </w:p>
    <w:p w14:paraId="6F18F968" w14:textId="2371C269" w:rsidR="004E5CCC" w:rsidRDefault="004E5CCC" w:rsidP="003D13DF">
      <w:pPr>
        <w:pStyle w:val="Heading2"/>
        <w:spacing w:line="240" w:lineRule="auto"/>
        <w:rPr>
          <w:bCs/>
        </w:rPr>
      </w:pPr>
      <w:r>
        <w:rPr>
          <w:bCs/>
        </w:rPr>
        <w:lastRenderedPageBreak/>
        <w:t xml:space="preserve">Item </w:t>
      </w:r>
      <w:r w:rsidR="0045431C">
        <w:rPr>
          <w:bCs/>
        </w:rPr>
        <w:t>8</w:t>
      </w:r>
      <w:r w:rsidR="003C12E0">
        <w:rPr>
          <w:bCs/>
        </w:rPr>
        <w:tab/>
      </w:r>
      <w:r w:rsidR="000245B3" w:rsidRPr="000245B3">
        <w:rPr>
          <w:bCs/>
        </w:rPr>
        <w:t>Proposed New Academic Program – Africana Studies</w:t>
      </w:r>
    </w:p>
    <w:p w14:paraId="5C768172" w14:textId="15548EC4" w:rsidR="003D13DF" w:rsidRPr="003D13DF" w:rsidRDefault="003D13DF" w:rsidP="00846C65">
      <w:pPr>
        <w:ind w:left="2430"/>
      </w:pPr>
      <w:r w:rsidRPr="003D13DF">
        <w:t xml:space="preserve">The Africana Studies Bachelor of Arts degree is an interdisciplinary program that promotes the academic study of peoples and cultures throughout the African Diaspora. Its purpose is to give students a broad knowledge of the African Diaspora, with specific emphasis on peoples and cultures in North America, Latin America, and the Caribbean. Multidisciplinary methods of inquiry give students broad theoretical approaches to the central questions and concerns of Diaspora studies—race, culture, identity, diversity, history, and society. </w:t>
      </w:r>
    </w:p>
    <w:p w14:paraId="325F06D2" w14:textId="11514B4F" w:rsidR="003C12E0" w:rsidRPr="003D13DF" w:rsidRDefault="003D13DF" w:rsidP="003D13DF">
      <w:pPr>
        <w:ind w:left="2430"/>
        <w:rPr>
          <w:b/>
          <w:bCs/>
        </w:rPr>
      </w:pPr>
      <w:r w:rsidRPr="003D13DF">
        <w:t>Students with a degree in Africana Studies can go on to graduate school</w:t>
      </w:r>
      <w:r w:rsidR="001E6F9F">
        <w:t xml:space="preserve"> </w:t>
      </w:r>
      <w:r w:rsidRPr="003D13DF">
        <w:t xml:space="preserve">as well as to careers in community and social service occupations. The Florida Department of Economic Opportunity predicts growth of social assistance jobs to grow at a rate of 22.3% in Duval and at a rate of 14.8% in Florida as a whole. Graduates of UNF’s Africana Studies program, especially those undertaking internships with local businesses and agencies, will have strong employment prospects. Such entities include the Duval County Public School System, the Jacksonville Sherriff’s Office, United Way of Northeast Florida, </w:t>
      </w:r>
      <w:proofErr w:type="spellStart"/>
      <w:r w:rsidRPr="003D13DF">
        <w:t>L'Arche</w:t>
      </w:r>
      <w:proofErr w:type="spellEnd"/>
      <w:r w:rsidRPr="003D13DF">
        <w:t xml:space="preserve"> Jacksonville, Hubbard House, and Communities in Schools Jacksonville, among numerous others.</w:t>
      </w:r>
      <w:r w:rsidR="003C12E0" w:rsidRPr="003D13DF">
        <w:t xml:space="preserve"> </w:t>
      </w:r>
      <w:proofErr w:type="gramStart"/>
      <w:r w:rsidR="003C12E0" w:rsidRPr="003D13DF">
        <w:t>Dr. John Kant</w:t>
      </w:r>
      <w:r w:rsidR="00E3161B">
        <w:t>n</w:t>
      </w:r>
      <w:r w:rsidR="003C12E0" w:rsidRPr="003D13DF">
        <w:t>er, Associate Vice President and Dean of Graduate Studies,</w:t>
      </w:r>
      <w:proofErr w:type="gramEnd"/>
      <w:r w:rsidR="003C12E0" w:rsidRPr="003D13DF">
        <w:t xml:space="preserve"> will present this item.</w:t>
      </w:r>
    </w:p>
    <w:p w14:paraId="7683CC31" w14:textId="37BE0DCD" w:rsidR="00846C65" w:rsidRDefault="003C12E0" w:rsidP="003E7F42">
      <w:r w:rsidRPr="003D13DF">
        <w:rPr>
          <w:b/>
          <w:bCs/>
        </w:rPr>
        <w:t xml:space="preserve"> </w:t>
      </w:r>
      <w:r w:rsidR="003E7F42">
        <w:rPr>
          <w:b/>
          <w:bCs/>
        </w:rPr>
        <w:tab/>
      </w:r>
      <w:r w:rsidR="003E7F42">
        <w:rPr>
          <w:b/>
          <w:bCs/>
        </w:rPr>
        <w:tab/>
      </w:r>
      <w:r w:rsidR="003E7F42">
        <w:rPr>
          <w:b/>
          <w:bCs/>
        </w:rPr>
        <w:tab/>
      </w:r>
      <w:r w:rsidR="003E7F42">
        <w:rPr>
          <w:b/>
          <w:bCs/>
        </w:rPr>
        <w:tab/>
      </w:r>
      <w:r w:rsidR="004E5CCC" w:rsidRPr="00CE4D78">
        <w:rPr>
          <w:b/>
          <w:bCs/>
        </w:rPr>
        <w:t xml:space="preserve">Proposed Action: </w:t>
      </w:r>
      <w:r w:rsidR="00273BFB" w:rsidRPr="000245B3">
        <w:t>Approval; Motion and Second Required</w:t>
      </w:r>
    </w:p>
    <w:p w14:paraId="399E7070" w14:textId="77777777" w:rsidR="00846C65" w:rsidRDefault="00846C65">
      <w:r>
        <w:br w:type="page"/>
      </w:r>
    </w:p>
    <w:p w14:paraId="24959BB5" w14:textId="1ADB9F87" w:rsidR="004E5CCC" w:rsidRPr="00846C65" w:rsidRDefault="004E5CCC" w:rsidP="00846C65">
      <w:pPr>
        <w:pStyle w:val="Heading2"/>
      </w:pPr>
      <w:r>
        <w:lastRenderedPageBreak/>
        <w:t xml:space="preserve">Item </w:t>
      </w:r>
      <w:r w:rsidR="0045431C">
        <w:t>9</w:t>
      </w:r>
      <w:r>
        <w:tab/>
      </w:r>
      <w:r w:rsidR="000245B3" w:rsidRPr="000245B3">
        <w:t>Proposed New Academic Program – Global MBA</w:t>
      </w:r>
    </w:p>
    <w:p w14:paraId="1BCC2735" w14:textId="118119F2" w:rsidR="00D8628A" w:rsidRPr="00D8628A" w:rsidRDefault="00D8628A" w:rsidP="00D8628A">
      <w:pPr>
        <w:tabs>
          <w:tab w:val="left" w:pos="2430"/>
        </w:tabs>
        <w:autoSpaceDE w:val="0"/>
        <w:autoSpaceDN w:val="0"/>
        <w:adjustRightInd w:val="0"/>
        <w:spacing w:after="0" w:line="240" w:lineRule="auto"/>
        <w:ind w:left="2430"/>
        <w:rPr>
          <w:rFonts w:cs="Times New Roman"/>
        </w:rPr>
      </w:pPr>
      <w:r w:rsidRPr="00D8628A">
        <w:rPr>
          <w:rFonts w:cs="Times New Roman"/>
        </w:rPr>
        <w:t xml:space="preserve">The Coggin College of Business (CCB) </w:t>
      </w:r>
      <w:proofErr w:type="spellStart"/>
      <w:r w:rsidRPr="00D8628A">
        <w:rPr>
          <w:rFonts w:cs="Times New Roman"/>
        </w:rPr>
        <w:t>GlobalMBA</w:t>
      </w:r>
      <w:proofErr w:type="spellEnd"/>
      <w:r w:rsidRPr="00D8628A">
        <w:rPr>
          <w:rFonts w:cs="Times New Roman"/>
        </w:rPr>
        <w:t xml:space="preserve"> program is currently offered as a concentration of the General Business MBA graduate program.  The CCB is seeking to transition the existing program from a concentration under the General Business MBA degree to a standalone Global MBA in International Business.  This program transition will enable UNF to include the International Business Global MBA program as a Program of Strategic Emphasis under the area of Economic Development – Global Competitiveness. The Global MBA was once approved by the Board of Trustees but is going back to the Board for approval after switching out one of the partners at the suggestion of the Board of Governors staff. The purpose of this program is to give young professionals a deep understanding of doing business internationally that allows them to lead Florida’s companies to thrive internationally</w:t>
      </w:r>
      <w:r w:rsidR="00A247B3">
        <w:rPr>
          <w:rFonts w:cs="Times New Roman"/>
        </w:rPr>
        <w:t>.</w:t>
      </w:r>
    </w:p>
    <w:p w14:paraId="0208D667" w14:textId="77777777" w:rsidR="00D8628A" w:rsidRPr="00D8628A" w:rsidRDefault="00D8628A" w:rsidP="00D8628A">
      <w:pPr>
        <w:tabs>
          <w:tab w:val="left" w:pos="2430"/>
        </w:tabs>
        <w:autoSpaceDE w:val="0"/>
        <w:autoSpaceDN w:val="0"/>
        <w:adjustRightInd w:val="0"/>
        <w:spacing w:after="0" w:line="240" w:lineRule="auto"/>
        <w:rPr>
          <w:rFonts w:cs="Times New Roman"/>
        </w:rPr>
      </w:pPr>
    </w:p>
    <w:p w14:paraId="2815DF19" w14:textId="2BDD1BCD" w:rsidR="00D8628A" w:rsidRDefault="00D8628A" w:rsidP="00D8628A">
      <w:pPr>
        <w:tabs>
          <w:tab w:val="left" w:pos="2430"/>
        </w:tabs>
        <w:autoSpaceDE w:val="0"/>
        <w:autoSpaceDN w:val="0"/>
        <w:adjustRightInd w:val="0"/>
        <w:spacing w:after="0" w:line="240" w:lineRule="auto"/>
        <w:ind w:left="2430"/>
      </w:pPr>
      <w:r w:rsidRPr="00D8628A">
        <w:rPr>
          <w:rFonts w:cs="Times New Roman"/>
        </w:rPr>
        <w:t xml:space="preserve">The </w:t>
      </w:r>
      <w:proofErr w:type="spellStart"/>
      <w:r w:rsidRPr="00D8628A">
        <w:rPr>
          <w:rFonts w:cs="Times New Roman"/>
        </w:rPr>
        <w:t>GlobalMBA</w:t>
      </w:r>
      <w:proofErr w:type="spellEnd"/>
      <w:r w:rsidRPr="00D8628A">
        <w:rPr>
          <w:rFonts w:cs="Times New Roman"/>
        </w:rPr>
        <w:t xml:space="preserve"> is a unique 63-credit hour double degree program providing graduate students the opportunity to combine intensive classroom study with residential experiences in four countries: Germany, Poland, South Korea (replacing China) and the United States. The </w:t>
      </w:r>
      <w:proofErr w:type="spellStart"/>
      <w:r w:rsidRPr="00D8628A">
        <w:rPr>
          <w:rFonts w:cs="Times New Roman"/>
        </w:rPr>
        <w:t>GlobalMBA</w:t>
      </w:r>
      <w:proofErr w:type="spellEnd"/>
      <w:r w:rsidRPr="00D8628A">
        <w:rPr>
          <w:rFonts w:cs="Times New Roman"/>
        </w:rPr>
        <w:t xml:space="preserve"> is offered by a consortium of four universities: Cologne University of Applied Sciences (Germany), the University of Warsaw (Poland), Kyungpook National University (South Korea) and the University of North Florida (USA). Upon finalizing their studies, students obtain two degrees, a </w:t>
      </w:r>
      <w:proofErr w:type="spellStart"/>
      <w:r w:rsidRPr="00D8628A">
        <w:rPr>
          <w:rFonts w:cs="Times New Roman"/>
        </w:rPr>
        <w:t>GlobalMBA</w:t>
      </w:r>
      <w:proofErr w:type="spellEnd"/>
      <w:r w:rsidRPr="00D8628A">
        <w:rPr>
          <w:rFonts w:cs="Times New Roman"/>
        </w:rPr>
        <w:t xml:space="preserve"> from UNF, and the Master of International Management and Intercultural Communication jointly conferred by </w:t>
      </w:r>
      <w:proofErr w:type="spellStart"/>
      <w:r w:rsidRPr="00D8628A">
        <w:rPr>
          <w:rFonts w:cs="Times New Roman"/>
        </w:rPr>
        <w:t>Technische</w:t>
      </w:r>
      <w:proofErr w:type="spellEnd"/>
      <w:r w:rsidRPr="00D8628A">
        <w:rPr>
          <w:rFonts w:cs="Times New Roman"/>
        </w:rPr>
        <w:t xml:space="preserve"> Hochschule Köln and the University of Warsaw. </w:t>
      </w:r>
      <w:proofErr w:type="gramStart"/>
      <w:r w:rsidR="003C12E0">
        <w:t>Dr. John Kant</w:t>
      </w:r>
      <w:r w:rsidR="00E3161B">
        <w:t>n</w:t>
      </w:r>
      <w:r w:rsidR="003C12E0">
        <w:t>er, Associate Vice President and Dean of Graduate Studies,</w:t>
      </w:r>
      <w:proofErr w:type="gramEnd"/>
      <w:r w:rsidR="003C12E0">
        <w:t xml:space="preserve"> will present this item.</w:t>
      </w:r>
    </w:p>
    <w:p w14:paraId="311CD40F" w14:textId="77777777" w:rsidR="003C12E0" w:rsidRPr="00D8628A" w:rsidRDefault="003C12E0" w:rsidP="00D8628A">
      <w:pPr>
        <w:tabs>
          <w:tab w:val="left" w:pos="2430"/>
        </w:tabs>
        <w:autoSpaceDE w:val="0"/>
        <w:autoSpaceDN w:val="0"/>
        <w:adjustRightInd w:val="0"/>
        <w:spacing w:after="0" w:line="240" w:lineRule="auto"/>
        <w:ind w:left="2430"/>
        <w:rPr>
          <w:rFonts w:cs="Times New Roman"/>
        </w:rPr>
      </w:pPr>
    </w:p>
    <w:p w14:paraId="6A1C85F8" w14:textId="77777777" w:rsidR="00D8628A" w:rsidRPr="00D8628A" w:rsidRDefault="00D8628A" w:rsidP="00D8628A">
      <w:pPr>
        <w:autoSpaceDE w:val="0"/>
        <w:autoSpaceDN w:val="0"/>
        <w:adjustRightInd w:val="0"/>
        <w:spacing w:after="0" w:line="240" w:lineRule="auto"/>
        <w:rPr>
          <w:rFonts w:cs="Times New Roman"/>
          <w:sz w:val="24"/>
          <w:szCs w:val="24"/>
        </w:rPr>
      </w:pPr>
    </w:p>
    <w:p w14:paraId="34D336F3" w14:textId="649C30B3" w:rsidR="004E5CCC" w:rsidRPr="00CE4D78" w:rsidRDefault="004E5CCC" w:rsidP="003E7F42">
      <w:pPr>
        <w:ind w:left="1710" w:firstLine="720"/>
        <w:rPr>
          <w:b/>
          <w:bCs/>
        </w:rPr>
      </w:pPr>
      <w:r w:rsidRPr="00CE4D78">
        <w:rPr>
          <w:b/>
          <w:bCs/>
        </w:rPr>
        <w:t xml:space="preserve">Proposed Action: </w:t>
      </w:r>
      <w:r w:rsidR="00273BFB" w:rsidRPr="000245B3">
        <w:t>Approval; Motion and Second Required</w:t>
      </w:r>
    </w:p>
    <w:p w14:paraId="25EFDDEC" w14:textId="77777777" w:rsidR="004E5CCC" w:rsidRPr="00FC2781" w:rsidRDefault="004E5CCC" w:rsidP="004E5CCC">
      <w:pPr>
        <w:spacing w:after="0" w:line="240" w:lineRule="auto"/>
        <w:ind w:left="2490" w:hanging="2490"/>
      </w:pPr>
    </w:p>
    <w:p w14:paraId="7D013287" w14:textId="77777777" w:rsidR="003D13DF" w:rsidRDefault="003D13DF" w:rsidP="00FC2781">
      <w:pPr>
        <w:spacing w:after="0" w:line="240" w:lineRule="auto"/>
        <w:ind w:left="2490" w:hanging="2490"/>
        <w:rPr>
          <w:i/>
          <w:iCs/>
        </w:rPr>
      </w:pPr>
    </w:p>
    <w:p w14:paraId="2ECEC252" w14:textId="122568A4" w:rsidR="0085277F" w:rsidRDefault="0085277F" w:rsidP="00FC2781">
      <w:pPr>
        <w:spacing w:after="0" w:line="240" w:lineRule="auto"/>
        <w:ind w:left="2490" w:hanging="2490"/>
        <w:rPr>
          <w:i/>
          <w:iCs/>
        </w:rPr>
      </w:pPr>
      <w:r>
        <w:rPr>
          <w:i/>
          <w:iCs/>
        </w:rPr>
        <w:t>8:</w:t>
      </w:r>
      <w:r w:rsidR="00035B6B">
        <w:rPr>
          <w:i/>
          <w:iCs/>
        </w:rPr>
        <w:t>45</w:t>
      </w:r>
      <w:r>
        <w:rPr>
          <w:i/>
          <w:iCs/>
        </w:rPr>
        <w:t xml:space="preserve"> am –</w:t>
      </w:r>
    </w:p>
    <w:p w14:paraId="403C6999" w14:textId="6733FCFE" w:rsidR="0020533D" w:rsidRPr="000D163C" w:rsidRDefault="0085277F" w:rsidP="00FC2781">
      <w:pPr>
        <w:spacing w:after="0" w:line="240" w:lineRule="auto"/>
        <w:ind w:left="2490" w:hanging="2490"/>
        <w:rPr>
          <w:i/>
          <w:iCs/>
        </w:rPr>
      </w:pPr>
      <w:r>
        <w:rPr>
          <w:i/>
          <w:iCs/>
        </w:rPr>
        <w:t>9:</w:t>
      </w:r>
      <w:r w:rsidR="00035B6B">
        <w:rPr>
          <w:i/>
          <w:iCs/>
        </w:rPr>
        <w:t>15</w:t>
      </w:r>
      <w:r>
        <w:rPr>
          <w:i/>
          <w:iCs/>
        </w:rPr>
        <w:t xml:space="preserve"> am</w:t>
      </w:r>
    </w:p>
    <w:p w14:paraId="7FF81AF7" w14:textId="77777777" w:rsidR="00FA4185" w:rsidRPr="00FA4185" w:rsidRDefault="003F4DCE" w:rsidP="00FA4185">
      <w:pPr>
        <w:pStyle w:val="Heading2"/>
        <w:rPr>
          <w:bCs/>
        </w:rPr>
      </w:pPr>
      <w:r w:rsidRPr="000B2527">
        <w:t>Item</w:t>
      </w:r>
      <w:r w:rsidR="003661ED">
        <w:t xml:space="preserve"> </w:t>
      </w:r>
      <w:r w:rsidR="0045431C">
        <w:t>10</w:t>
      </w:r>
      <w:r w:rsidR="00B753EA">
        <w:tab/>
      </w:r>
      <w:r w:rsidR="00FA4185" w:rsidRPr="00FA4185">
        <w:rPr>
          <w:bCs/>
          <w:i/>
          <w:iCs/>
        </w:rPr>
        <w:t>The Conferral and Nature of Tenure at UNF</w:t>
      </w:r>
    </w:p>
    <w:p w14:paraId="6C2F8584" w14:textId="77777777" w:rsidR="00FA4185" w:rsidRPr="00FA4185" w:rsidRDefault="00FA4185" w:rsidP="00FA4185">
      <w:pPr>
        <w:ind w:left="2430"/>
      </w:pPr>
      <w:r w:rsidRPr="00FA4185">
        <w:t xml:space="preserve">Provost Karen Patterson and Dr. Gordon Rakita, Associate Vice President of Faculty Excellence and Academic Engagement, will give a presentation on the nature of academic tenure.  They will explain what tenure is and is not and describe UNF’s process for conferral of tenure to faculty. They will also address various myths about tenure, clarify the value of the tenure system, and discuss ways that UNF ensures that tenure-line faculty maintain professional excellence throughout their careers. </w:t>
      </w:r>
    </w:p>
    <w:p w14:paraId="762208AB" w14:textId="77777777" w:rsidR="00FA4185" w:rsidRPr="00FA4185" w:rsidRDefault="00FA4185" w:rsidP="00FA4185">
      <w:pPr>
        <w:shd w:val="clear" w:color="auto" w:fill="FFFFFF" w:themeFill="background1"/>
        <w:spacing w:after="240" w:line="240" w:lineRule="auto"/>
        <w:ind w:left="2434"/>
      </w:pPr>
      <w:r w:rsidRPr="00FA4185">
        <w:rPr>
          <w:b/>
        </w:rPr>
        <w:t>Proposed Action:</w:t>
      </w:r>
      <w:r w:rsidRPr="00FA4185">
        <w:t xml:space="preserve"> No Action Required</w:t>
      </w:r>
    </w:p>
    <w:p w14:paraId="4F4E2A3F" w14:textId="12B381BC" w:rsidR="00946B4D" w:rsidRPr="005F18E6" w:rsidRDefault="000D163C" w:rsidP="00FA4185">
      <w:pPr>
        <w:pStyle w:val="Heading2"/>
      </w:pPr>
      <w:r>
        <w:t>Item 11</w:t>
      </w:r>
      <w:r>
        <w:tab/>
      </w:r>
      <w:r w:rsidR="003F4DCE" w:rsidRPr="005F18E6">
        <w:t>Adjournment</w:t>
      </w:r>
    </w:p>
    <w:sectPr w:rsidR="00946B4D" w:rsidRPr="005F18E6" w:rsidSect="00BE7B6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10938" w14:textId="77777777" w:rsidR="00695F63" w:rsidRDefault="00695F63" w:rsidP="003F4DCE">
      <w:pPr>
        <w:spacing w:after="0" w:line="240" w:lineRule="auto"/>
      </w:pPr>
      <w:r>
        <w:separator/>
      </w:r>
    </w:p>
  </w:endnote>
  <w:endnote w:type="continuationSeparator" w:id="0">
    <w:p w14:paraId="5825113B" w14:textId="77777777" w:rsidR="00695F63" w:rsidRDefault="00695F63" w:rsidP="003F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D0123" w14:textId="77777777" w:rsidR="00695F63" w:rsidRDefault="00695F63" w:rsidP="003F4DCE">
      <w:pPr>
        <w:spacing w:after="0" w:line="240" w:lineRule="auto"/>
      </w:pPr>
      <w:r>
        <w:separator/>
      </w:r>
    </w:p>
  </w:footnote>
  <w:footnote w:type="continuationSeparator" w:id="0">
    <w:p w14:paraId="38748EE1" w14:textId="77777777" w:rsidR="00695F63" w:rsidRDefault="00695F63" w:rsidP="003F4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04AB" w14:textId="30047E5B" w:rsidR="009F77F6" w:rsidRDefault="009F77F6" w:rsidP="003116C5">
    <w:pPr>
      <w:pStyle w:val="Header"/>
      <w:jc w:val="center"/>
    </w:pPr>
    <w:r w:rsidRPr="00772D14">
      <w:rPr>
        <w:noProof/>
      </w:rPr>
      <w:drawing>
        <wp:inline distT="0" distB="0" distL="0" distR="0" wp14:anchorId="7AAD4AD1" wp14:editId="651C39E5">
          <wp:extent cx="2066388" cy="877570"/>
          <wp:effectExtent l="0" t="0" r="0" b="0"/>
          <wp:docPr id="3" name="Picture 3"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5FCADB14" w14:textId="77777777" w:rsidR="009F77F6" w:rsidRDefault="009F77F6" w:rsidP="003116C5">
    <w:pPr>
      <w:pStyle w:val="Header"/>
      <w:jc w:val="center"/>
    </w:pPr>
  </w:p>
  <w:p w14:paraId="044368A2" w14:textId="77777777" w:rsidR="009F77F6" w:rsidRPr="00917556" w:rsidRDefault="009F77F6" w:rsidP="003F4DCE">
    <w:pPr>
      <w:pStyle w:val="Header"/>
      <w:jc w:val="center"/>
      <w:rPr>
        <w:b/>
        <w:sz w:val="24"/>
        <w:szCs w:val="24"/>
      </w:rPr>
    </w:pPr>
    <w:r w:rsidRPr="00917556">
      <w:rPr>
        <w:b/>
        <w:sz w:val="24"/>
        <w:szCs w:val="24"/>
      </w:rPr>
      <w:t xml:space="preserve">Board of Trustees </w:t>
    </w:r>
  </w:p>
  <w:p w14:paraId="2911C494" w14:textId="77777777" w:rsidR="009F77F6" w:rsidRDefault="009F77F6" w:rsidP="003F4DCE">
    <w:pPr>
      <w:pStyle w:val="Header"/>
      <w:jc w:val="center"/>
      <w:rPr>
        <w:b/>
        <w:sz w:val="24"/>
        <w:szCs w:val="24"/>
      </w:rPr>
    </w:pPr>
  </w:p>
  <w:p w14:paraId="29AF1E4F" w14:textId="4D54E766" w:rsidR="009F77F6" w:rsidRPr="00917556" w:rsidRDefault="00160ED4" w:rsidP="003F4DCE">
    <w:pPr>
      <w:pStyle w:val="Header"/>
      <w:jc w:val="center"/>
      <w:rPr>
        <w:b/>
        <w:sz w:val="24"/>
        <w:szCs w:val="24"/>
      </w:rPr>
    </w:pPr>
    <w:r>
      <w:rPr>
        <w:b/>
        <w:sz w:val="24"/>
        <w:szCs w:val="24"/>
      </w:rPr>
      <w:t>Academic and Student Affairs</w:t>
    </w:r>
    <w:r w:rsidR="009F77F6" w:rsidRPr="00917556">
      <w:rPr>
        <w:b/>
        <w:sz w:val="24"/>
        <w:szCs w:val="24"/>
      </w:rPr>
      <w:t xml:space="preserve"> Committee</w:t>
    </w:r>
  </w:p>
  <w:p w14:paraId="3E2A8D8C" w14:textId="77777777" w:rsidR="009F77F6" w:rsidRDefault="009F77F6" w:rsidP="003116C5">
    <w:pPr>
      <w:pStyle w:val="Header"/>
      <w:jc w:val="center"/>
      <w:rPr>
        <w:b/>
        <w:sz w:val="24"/>
        <w:szCs w:val="24"/>
      </w:rPr>
    </w:pPr>
  </w:p>
  <w:p w14:paraId="01850D54" w14:textId="6009C2F9" w:rsidR="009F77F6" w:rsidRDefault="00160ED4" w:rsidP="003116C5">
    <w:pPr>
      <w:pStyle w:val="Header"/>
      <w:jc w:val="center"/>
      <w:rPr>
        <w:b/>
        <w:sz w:val="24"/>
        <w:szCs w:val="24"/>
      </w:rPr>
    </w:pPr>
    <w:r>
      <w:rPr>
        <w:b/>
        <w:sz w:val="24"/>
        <w:szCs w:val="24"/>
      </w:rPr>
      <w:t>April 18</w:t>
    </w:r>
    <w:r w:rsidR="0020533D">
      <w:rPr>
        <w:b/>
        <w:sz w:val="24"/>
        <w:szCs w:val="24"/>
      </w:rPr>
      <w:t>, 2022</w:t>
    </w:r>
  </w:p>
  <w:p w14:paraId="685CFE58" w14:textId="77777777" w:rsidR="009F77F6" w:rsidRPr="00917556" w:rsidRDefault="009F77F6" w:rsidP="003116C5">
    <w:pPr>
      <w:pStyle w:val="Header"/>
      <w:jc w:val="center"/>
      <w:rPr>
        <w:b/>
        <w:sz w:val="24"/>
        <w:szCs w:val="24"/>
      </w:rPr>
    </w:pPr>
  </w:p>
  <w:p w14:paraId="529663F7" w14:textId="1268B234" w:rsidR="009F77F6" w:rsidRPr="00381E93" w:rsidRDefault="00160ED4" w:rsidP="003116C5">
    <w:pPr>
      <w:pStyle w:val="Header"/>
      <w:jc w:val="center"/>
      <w:rPr>
        <w:iCs/>
        <w:sz w:val="24"/>
        <w:szCs w:val="24"/>
      </w:rPr>
    </w:pPr>
    <w:r>
      <w:rPr>
        <w:iCs/>
        <w:sz w:val="24"/>
        <w:szCs w:val="24"/>
      </w:rPr>
      <w:t>8:00</w:t>
    </w:r>
    <w:r w:rsidR="009F77F6" w:rsidRPr="00381E93">
      <w:rPr>
        <w:iCs/>
        <w:sz w:val="24"/>
        <w:szCs w:val="24"/>
      </w:rPr>
      <w:t xml:space="preserve"> am – </w:t>
    </w:r>
    <w:r>
      <w:rPr>
        <w:iCs/>
        <w:sz w:val="24"/>
        <w:szCs w:val="24"/>
      </w:rPr>
      <w:t>9</w:t>
    </w:r>
    <w:r w:rsidR="0020533D" w:rsidRPr="00381E93">
      <w:rPr>
        <w:iCs/>
        <w:sz w:val="24"/>
        <w:szCs w:val="24"/>
      </w:rPr>
      <w:t>:</w:t>
    </w:r>
    <w:r>
      <w:rPr>
        <w:iCs/>
        <w:sz w:val="24"/>
        <w:szCs w:val="24"/>
      </w:rPr>
      <w:t>1</w:t>
    </w:r>
    <w:r w:rsidR="0020533D" w:rsidRPr="00381E93">
      <w:rPr>
        <w:iCs/>
        <w:sz w:val="24"/>
        <w:szCs w:val="24"/>
      </w:rPr>
      <w:t>5</w:t>
    </w:r>
    <w:r w:rsidR="009F77F6" w:rsidRPr="00381E93">
      <w:rPr>
        <w:iCs/>
        <w:sz w:val="24"/>
        <w:szCs w:val="24"/>
      </w:rPr>
      <w:t xml:space="preserve"> am</w:t>
    </w:r>
  </w:p>
  <w:p w14:paraId="18E7F275" w14:textId="154D211D" w:rsidR="0020533D" w:rsidRDefault="0020533D" w:rsidP="003116C5">
    <w:pPr>
      <w:pStyle w:val="Header"/>
      <w:jc w:val="center"/>
      <w:rPr>
        <w:i/>
        <w:sz w:val="24"/>
        <w:szCs w:val="24"/>
      </w:rPr>
    </w:pPr>
  </w:p>
  <w:p w14:paraId="4AFC0843" w14:textId="0780B5B0" w:rsidR="0020533D" w:rsidRDefault="00381E93" w:rsidP="003116C5">
    <w:pPr>
      <w:pStyle w:val="Header"/>
      <w:jc w:val="center"/>
      <w:rPr>
        <w:i/>
        <w:sz w:val="24"/>
        <w:szCs w:val="24"/>
      </w:rPr>
    </w:pPr>
    <w:r>
      <w:rPr>
        <w:i/>
        <w:sz w:val="24"/>
        <w:szCs w:val="24"/>
      </w:rPr>
      <w:t>v</w:t>
    </w:r>
    <w:r w:rsidR="0020533D">
      <w:rPr>
        <w:i/>
        <w:sz w:val="24"/>
        <w:szCs w:val="24"/>
      </w:rPr>
      <w:t>irtual meeting</w:t>
    </w:r>
  </w:p>
  <w:p w14:paraId="3C591289" w14:textId="77777777" w:rsidR="009F77F6" w:rsidRDefault="009F77F6" w:rsidP="00466EE8">
    <w:pPr>
      <w:pStyle w:val="Header"/>
      <w:jc w:val="center"/>
      <w:rPr>
        <w:i/>
        <w:iCs/>
        <w:sz w:val="24"/>
        <w:szCs w:val="24"/>
      </w:rPr>
    </w:pPr>
  </w:p>
  <w:p w14:paraId="4028DCD9" w14:textId="77777777" w:rsidR="009F77F6" w:rsidRPr="00BE7B6D" w:rsidRDefault="009F77F6" w:rsidP="00BE7B6D">
    <w:pPr>
      <w:pStyle w:val="Header"/>
      <w:jc w:val="center"/>
      <w:rPr>
        <w:i/>
        <w:iCs/>
      </w:rPr>
    </w:pPr>
    <w:r>
      <w:rPr>
        <w:i/>
        <w:iCs/>
      </w:rPr>
      <w:tab/>
    </w:r>
    <w:r>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F00"/>
    <w:multiLevelType w:val="multilevel"/>
    <w:tmpl w:val="45145D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0MjY0tTQxNTAytTBW0lEKTi0uzszPAykwrQUAQgfqhiwAAAA="/>
  </w:docVars>
  <w:rsids>
    <w:rsidRoot w:val="00D4071D"/>
    <w:rsid w:val="000245B3"/>
    <w:rsid w:val="00035B6B"/>
    <w:rsid w:val="00056FCB"/>
    <w:rsid w:val="00063AB2"/>
    <w:rsid w:val="000A765E"/>
    <w:rsid w:val="000B2527"/>
    <w:rsid w:val="000D163C"/>
    <w:rsid w:val="000E4E5D"/>
    <w:rsid w:val="000E556C"/>
    <w:rsid w:val="000F644F"/>
    <w:rsid w:val="0011006E"/>
    <w:rsid w:val="00122B5D"/>
    <w:rsid w:val="00122E21"/>
    <w:rsid w:val="00135B06"/>
    <w:rsid w:val="00144A9D"/>
    <w:rsid w:val="00156B3E"/>
    <w:rsid w:val="00160ED4"/>
    <w:rsid w:val="0016746A"/>
    <w:rsid w:val="001A0E2A"/>
    <w:rsid w:val="001B00B0"/>
    <w:rsid w:val="001E6F9F"/>
    <w:rsid w:val="001F4822"/>
    <w:rsid w:val="00201F0F"/>
    <w:rsid w:val="0020533D"/>
    <w:rsid w:val="00215DFA"/>
    <w:rsid w:val="00252E49"/>
    <w:rsid w:val="00271F6C"/>
    <w:rsid w:val="00273BFB"/>
    <w:rsid w:val="0029737A"/>
    <w:rsid w:val="002C33D9"/>
    <w:rsid w:val="002D4896"/>
    <w:rsid w:val="002F6F72"/>
    <w:rsid w:val="00307ED4"/>
    <w:rsid w:val="0031172B"/>
    <w:rsid w:val="003573FF"/>
    <w:rsid w:val="0036323E"/>
    <w:rsid w:val="003661ED"/>
    <w:rsid w:val="0037170B"/>
    <w:rsid w:val="00381E93"/>
    <w:rsid w:val="00383AD4"/>
    <w:rsid w:val="0039740A"/>
    <w:rsid w:val="003A0E65"/>
    <w:rsid w:val="003B383E"/>
    <w:rsid w:val="003C12E0"/>
    <w:rsid w:val="003C2B36"/>
    <w:rsid w:val="003D13DF"/>
    <w:rsid w:val="003E7F42"/>
    <w:rsid w:val="003F4881"/>
    <w:rsid w:val="003F4DCE"/>
    <w:rsid w:val="00406388"/>
    <w:rsid w:val="004125EE"/>
    <w:rsid w:val="00412A98"/>
    <w:rsid w:val="00413A11"/>
    <w:rsid w:val="00433DF2"/>
    <w:rsid w:val="00443C7B"/>
    <w:rsid w:val="0045431C"/>
    <w:rsid w:val="00457DE4"/>
    <w:rsid w:val="00466EE8"/>
    <w:rsid w:val="004A30C8"/>
    <w:rsid w:val="004C3361"/>
    <w:rsid w:val="004D33CF"/>
    <w:rsid w:val="004E5CCC"/>
    <w:rsid w:val="004F0B79"/>
    <w:rsid w:val="004F612A"/>
    <w:rsid w:val="0055420B"/>
    <w:rsid w:val="005606E9"/>
    <w:rsid w:val="0056087C"/>
    <w:rsid w:val="00564CA4"/>
    <w:rsid w:val="00594D0B"/>
    <w:rsid w:val="0059689C"/>
    <w:rsid w:val="005A7243"/>
    <w:rsid w:val="005C0452"/>
    <w:rsid w:val="005C53E0"/>
    <w:rsid w:val="005C6AF1"/>
    <w:rsid w:val="005E7015"/>
    <w:rsid w:val="005F276C"/>
    <w:rsid w:val="00602E7D"/>
    <w:rsid w:val="00604E6F"/>
    <w:rsid w:val="006073E7"/>
    <w:rsid w:val="00636D1A"/>
    <w:rsid w:val="006410DB"/>
    <w:rsid w:val="0064561A"/>
    <w:rsid w:val="00692980"/>
    <w:rsid w:val="00695F63"/>
    <w:rsid w:val="006E6756"/>
    <w:rsid w:val="0071483C"/>
    <w:rsid w:val="0071607D"/>
    <w:rsid w:val="00747A1B"/>
    <w:rsid w:val="00784B63"/>
    <w:rsid w:val="0079210B"/>
    <w:rsid w:val="007A57F8"/>
    <w:rsid w:val="007D2BE3"/>
    <w:rsid w:val="007D7D25"/>
    <w:rsid w:val="007F1E39"/>
    <w:rsid w:val="00815D51"/>
    <w:rsid w:val="00826318"/>
    <w:rsid w:val="00831465"/>
    <w:rsid w:val="00846C65"/>
    <w:rsid w:val="0085277F"/>
    <w:rsid w:val="00852E84"/>
    <w:rsid w:val="00855F8D"/>
    <w:rsid w:val="00873F68"/>
    <w:rsid w:val="00875BB1"/>
    <w:rsid w:val="008777CF"/>
    <w:rsid w:val="00896B39"/>
    <w:rsid w:val="00896B71"/>
    <w:rsid w:val="00896BB5"/>
    <w:rsid w:val="008A4E0D"/>
    <w:rsid w:val="008B459C"/>
    <w:rsid w:val="008C401E"/>
    <w:rsid w:val="00917556"/>
    <w:rsid w:val="00943156"/>
    <w:rsid w:val="00946B4D"/>
    <w:rsid w:val="00963E1B"/>
    <w:rsid w:val="00966562"/>
    <w:rsid w:val="009778E9"/>
    <w:rsid w:val="009B4C3B"/>
    <w:rsid w:val="009B7E20"/>
    <w:rsid w:val="009C2C32"/>
    <w:rsid w:val="009C328D"/>
    <w:rsid w:val="009C748B"/>
    <w:rsid w:val="009D7F67"/>
    <w:rsid w:val="009F77F6"/>
    <w:rsid w:val="00A022D4"/>
    <w:rsid w:val="00A104B4"/>
    <w:rsid w:val="00A247B3"/>
    <w:rsid w:val="00A35E19"/>
    <w:rsid w:val="00A46C38"/>
    <w:rsid w:val="00A46CB8"/>
    <w:rsid w:val="00A65180"/>
    <w:rsid w:val="00A67E7D"/>
    <w:rsid w:val="00A92D51"/>
    <w:rsid w:val="00AB161A"/>
    <w:rsid w:val="00AC4353"/>
    <w:rsid w:val="00AC7D97"/>
    <w:rsid w:val="00AF1C37"/>
    <w:rsid w:val="00AF41E9"/>
    <w:rsid w:val="00B16A7C"/>
    <w:rsid w:val="00B3490B"/>
    <w:rsid w:val="00B5304D"/>
    <w:rsid w:val="00B753EA"/>
    <w:rsid w:val="00B76A48"/>
    <w:rsid w:val="00B85D08"/>
    <w:rsid w:val="00BE1195"/>
    <w:rsid w:val="00BE7B6D"/>
    <w:rsid w:val="00BF47FF"/>
    <w:rsid w:val="00C1218B"/>
    <w:rsid w:val="00C141F5"/>
    <w:rsid w:val="00C56AE7"/>
    <w:rsid w:val="00C56BE8"/>
    <w:rsid w:val="00C73C23"/>
    <w:rsid w:val="00C82BEB"/>
    <w:rsid w:val="00CB05B6"/>
    <w:rsid w:val="00CE4D78"/>
    <w:rsid w:val="00D10E8F"/>
    <w:rsid w:val="00D325C3"/>
    <w:rsid w:val="00D4071D"/>
    <w:rsid w:val="00D60ADC"/>
    <w:rsid w:val="00D80032"/>
    <w:rsid w:val="00D828BB"/>
    <w:rsid w:val="00D8628A"/>
    <w:rsid w:val="00DA2086"/>
    <w:rsid w:val="00DA7AEE"/>
    <w:rsid w:val="00DB5B41"/>
    <w:rsid w:val="00DD14D4"/>
    <w:rsid w:val="00E02207"/>
    <w:rsid w:val="00E044C0"/>
    <w:rsid w:val="00E07BD1"/>
    <w:rsid w:val="00E16849"/>
    <w:rsid w:val="00E16BF0"/>
    <w:rsid w:val="00E17F76"/>
    <w:rsid w:val="00E2719A"/>
    <w:rsid w:val="00E3161B"/>
    <w:rsid w:val="00E6148A"/>
    <w:rsid w:val="00E65BAE"/>
    <w:rsid w:val="00E93AEF"/>
    <w:rsid w:val="00EB380D"/>
    <w:rsid w:val="00EC141E"/>
    <w:rsid w:val="00EC3EB4"/>
    <w:rsid w:val="00EC5350"/>
    <w:rsid w:val="00EC78B3"/>
    <w:rsid w:val="00ED0229"/>
    <w:rsid w:val="00ED4312"/>
    <w:rsid w:val="00ED7AFA"/>
    <w:rsid w:val="00EE24A3"/>
    <w:rsid w:val="00EE7A7D"/>
    <w:rsid w:val="00EF028F"/>
    <w:rsid w:val="00F01077"/>
    <w:rsid w:val="00F16207"/>
    <w:rsid w:val="00F21BF6"/>
    <w:rsid w:val="00F3779F"/>
    <w:rsid w:val="00F94C2C"/>
    <w:rsid w:val="00FA4185"/>
    <w:rsid w:val="00FA7B4B"/>
    <w:rsid w:val="00FC2781"/>
    <w:rsid w:val="00FF3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53231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F42"/>
    <w:rPr>
      <w:rFonts w:ascii="Book Antiqua" w:hAnsi="Book Antiqua"/>
    </w:rPr>
  </w:style>
  <w:style w:type="paragraph" w:styleId="Heading1">
    <w:name w:val="heading 1"/>
    <w:basedOn w:val="Normal"/>
    <w:next w:val="Normal"/>
    <w:link w:val="Heading1Char"/>
    <w:uiPriority w:val="9"/>
    <w:qFormat/>
    <w:rsid w:val="00BF47FF"/>
    <w:pPr>
      <w:spacing w:after="0"/>
      <w:ind w:left="2385" w:hanging="2385"/>
      <w:jc w:val="center"/>
      <w:outlineLvl w:val="0"/>
    </w:pPr>
    <w:rPr>
      <w:bCs/>
      <w:sz w:val="24"/>
      <w:szCs w:val="24"/>
    </w:rPr>
  </w:style>
  <w:style w:type="paragraph" w:styleId="Heading2">
    <w:name w:val="heading 2"/>
    <w:basedOn w:val="Normal"/>
    <w:next w:val="Normal"/>
    <w:link w:val="Heading2Char"/>
    <w:uiPriority w:val="9"/>
    <w:unhideWhenUsed/>
    <w:qFormat/>
    <w:rsid w:val="00BF47FF"/>
    <w:pPr>
      <w:spacing w:after="0"/>
      <w:ind w:left="2430" w:hanging="243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DCE"/>
  </w:style>
  <w:style w:type="paragraph" w:styleId="NoSpacing">
    <w:name w:val="No Spacing"/>
    <w:uiPriority w:val="1"/>
    <w:qFormat/>
    <w:rsid w:val="003F4DCE"/>
    <w:pPr>
      <w:spacing w:after="0" w:line="240" w:lineRule="auto"/>
    </w:pPr>
  </w:style>
  <w:style w:type="paragraph" w:styleId="Footer">
    <w:name w:val="footer"/>
    <w:basedOn w:val="Normal"/>
    <w:link w:val="FooterChar"/>
    <w:uiPriority w:val="99"/>
    <w:unhideWhenUsed/>
    <w:rsid w:val="003F4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DCE"/>
  </w:style>
  <w:style w:type="paragraph" w:customStyle="1" w:styleId="Default">
    <w:name w:val="Default"/>
    <w:rsid w:val="00F01077"/>
    <w:pPr>
      <w:autoSpaceDE w:val="0"/>
      <w:autoSpaceDN w:val="0"/>
      <w:adjustRightInd w:val="0"/>
      <w:spacing w:after="0" w:line="240" w:lineRule="auto"/>
    </w:pPr>
    <w:rPr>
      <w:rFonts w:ascii="Book Antiqua" w:hAnsi="Book Antiqua" w:cs="Book Antiqua"/>
      <w:color w:val="000000"/>
      <w:sz w:val="24"/>
      <w:szCs w:val="24"/>
    </w:rPr>
  </w:style>
  <w:style w:type="character" w:styleId="Hyperlink">
    <w:name w:val="Hyperlink"/>
    <w:basedOn w:val="DefaultParagraphFont"/>
    <w:uiPriority w:val="99"/>
    <w:unhideWhenUsed/>
    <w:rsid w:val="00E16BF0"/>
    <w:rPr>
      <w:rFonts w:ascii="Open Sans" w:hAnsi="Open Sans" w:hint="default"/>
      <w:strike w:val="0"/>
      <w:dstrike w:val="0"/>
      <w:color w:val="2A7BB4"/>
      <w:u w:val="none"/>
      <w:effect w:val="none"/>
    </w:rPr>
  </w:style>
  <w:style w:type="paragraph" w:styleId="NormalWeb">
    <w:name w:val="Normal (Web)"/>
    <w:basedOn w:val="Normal"/>
    <w:uiPriority w:val="99"/>
    <w:semiHidden/>
    <w:unhideWhenUsed/>
    <w:rsid w:val="00E16BF0"/>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16BF0"/>
    <w:rPr>
      <w:color w:val="605E5C"/>
      <w:shd w:val="clear" w:color="auto" w:fill="E1DFDD"/>
    </w:rPr>
  </w:style>
  <w:style w:type="character" w:styleId="FollowedHyperlink">
    <w:name w:val="FollowedHyperlink"/>
    <w:basedOn w:val="DefaultParagraphFont"/>
    <w:uiPriority w:val="99"/>
    <w:semiHidden/>
    <w:unhideWhenUsed/>
    <w:rsid w:val="00BF47FF"/>
    <w:rPr>
      <w:color w:val="954F72" w:themeColor="followedHyperlink"/>
      <w:u w:val="single"/>
    </w:rPr>
  </w:style>
  <w:style w:type="character" w:customStyle="1" w:styleId="Heading1Char">
    <w:name w:val="Heading 1 Char"/>
    <w:basedOn w:val="DefaultParagraphFont"/>
    <w:link w:val="Heading1"/>
    <w:uiPriority w:val="9"/>
    <w:rsid w:val="00BF47FF"/>
    <w:rPr>
      <w:rFonts w:ascii="Book Antiqua" w:hAnsi="Book Antiqua"/>
      <w:bCs/>
      <w:sz w:val="24"/>
      <w:szCs w:val="24"/>
    </w:rPr>
  </w:style>
  <w:style w:type="character" w:customStyle="1" w:styleId="Heading2Char">
    <w:name w:val="Heading 2 Char"/>
    <w:basedOn w:val="DefaultParagraphFont"/>
    <w:link w:val="Heading2"/>
    <w:uiPriority w:val="9"/>
    <w:rsid w:val="00BF47FF"/>
    <w:rPr>
      <w:rFonts w:ascii="Book Antiqua" w:hAnsi="Book Antiqua"/>
      <w:b/>
    </w:rPr>
  </w:style>
  <w:style w:type="character" w:styleId="CommentReference">
    <w:name w:val="annotation reference"/>
    <w:basedOn w:val="DefaultParagraphFont"/>
    <w:uiPriority w:val="99"/>
    <w:semiHidden/>
    <w:unhideWhenUsed/>
    <w:rsid w:val="00B5304D"/>
    <w:rPr>
      <w:sz w:val="16"/>
      <w:szCs w:val="16"/>
    </w:rPr>
  </w:style>
  <w:style w:type="paragraph" w:styleId="CommentText">
    <w:name w:val="annotation text"/>
    <w:basedOn w:val="Normal"/>
    <w:link w:val="CommentTextChar"/>
    <w:uiPriority w:val="99"/>
    <w:semiHidden/>
    <w:unhideWhenUsed/>
    <w:rsid w:val="00B5304D"/>
    <w:pPr>
      <w:spacing w:line="240" w:lineRule="auto"/>
    </w:pPr>
    <w:rPr>
      <w:sz w:val="20"/>
      <w:szCs w:val="20"/>
    </w:rPr>
  </w:style>
  <w:style w:type="character" w:customStyle="1" w:styleId="CommentTextChar">
    <w:name w:val="Comment Text Char"/>
    <w:basedOn w:val="DefaultParagraphFont"/>
    <w:link w:val="CommentText"/>
    <w:uiPriority w:val="99"/>
    <w:semiHidden/>
    <w:rsid w:val="00B5304D"/>
    <w:rPr>
      <w:sz w:val="20"/>
      <w:szCs w:val="20"/>
    </w:rPr>
  </w:style>
  <w:style w:type="paragraph" w:styleId="CommentSubject">
    <w:name w:val="annotation subject"/>
    <w:basedOn w:val="CommentText"/>
    <w:next w:val="CommentText"/>
    <w:link w:val="CommentSubjectChar"/>
    <w:uiPriority w:val="99"/>
    <w:semiHidden/>
    <w:unhideWhenUsed/>
    <w:rsid w:val="00B5304D"/>
    <w:rPr>
      <w:b/>
      <w:bCs/>
    </w:rPr>
  </w:style>
  <w:style w:type="character" w:customStyle="1" w:styleId="CommentSubjectChar">
    <w:name w:val="Comment Subject Char"/>
    <w:basedOn w:val="CommentTextChar"/>
    <w:link w:val="CommentSubject"/>
    <w:uiPriority w:val="99"/>
    <w:semiHidden/>
    <w:rsid w:val="00B5304D"/>
    <w:rPr>
      <w:b/>
      <w:bCs/>
      <w:sz w:val="20"/>
      <w:szCs w:val="20"/>
    </w:rPr>
  </w:style>
  <w:style w:type="paragraph" w:styleId="BalloonText">
    <w:name w:val="Balloon Text"/>
    <w:basedOn w:val="Normal"/>
    <w:link w:val="BalloonTextChar"/>
    <w:uiPriority w:val="99"/>
    <w:semiHidden/>
    <w:unhideWhenUsed/>
    <w:rsid w:val="00B53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04D"/>
    <w:rPr>
      <w:rFonts w:ascii="Segoe UI" w:hAnsi="Segoe UI" w:cs="Segoe UI"/>
      <w:sz w:val="18"/>
      <w:szCs w:val="18"/>
    </w:rPr>
  </w:style>
  <w:style w:type="paragraph" w:styleId="ListParagraph">
    <w:name w:val="List Paragraph"/>
    <w:basedOn w:val="Normal"/>
    <w:uiPriority w:val="34"/>
    <w:qFormat/>
    <w:rsid w:val="00FC2781"/>
    <w:pPr>
      <w:shd w:val="clear" w:color="auto" w:fill="FFFFFF" w:themeFill="background1"/>
      <w:spacing w:after="0" w:line="240" w:lineRule="auto"/>
      <w:ind w:left="2160"/>
    </w:pPr>
    <w:rPr>
      <w:rFonts w:cs="Times New Roman"/>
      <w:b/>
    </w:rPr>
  </w:style>
  <w:style w:type="paragraph" w:styleId="Revision">
    <w:name w:val="Revision"/>
    <w:hidden/>
    <w:uiPriority w:val="99"/>
    <w:semiHidden/>
    <w:rsid w:val="001F48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9573">
      <w:bodyDiv w:val="1"/>
      <w:marLeft w:val="0"/>
      <w:marRight w:val="0"/>
      <w:marTop w:val="0"/>
      <w:marBottom w:val="0"/>
      <w:divBdr>
        <w:top w:val="none" w:sz="0" w:space="0" w:color="auto"/>
        <w:left w:val="none" w:sz="0" w:space="0" w:color="auto"/>
        <w:bottom w:val="none" w:sz="0" w:space="0" w:color="auto"/>
        <w:right w:val="none" w:sz="0" w:space="0" w:color="auto"/>
      </w:divBdr>
    </w:div>
    <w:div w:id="500047191">
      <w:bodyDiv w:val="1"/>
      <w:marLeft w:val="0"/>
      <w:marRight w:val="0"/>
      <w:marTop w:val="0"/>
      <w:marBottom w:val="0"/>
      <w:divBdr>
        <w:top w:val="none" w:sz="0" w:space="0" w:color="auto"/>
        <w:left w:val="none" w:sz="0" w:space="0" w:color="auto"/>
        <w:bottom w:val="none" w:sz="0" w:space="0" w:color="auto"/>
        <w:right w:val="none" w:sz="0" w:space="0" w:color="auto"/>
      </w:divBdr>
    </w:div>
    <w:div w:id="513500116">
      <w:bodyDiv w:val="1"/>
      <w:marLeft w:val="0"/>
      <w:marRight w:val="0"/>
      <w:marTop w:val="0"/>
      <w:marBottom w:val="0"/>
      <w:divBdr>
        <w:top w:val="none" w:sz="0" w:space="0" w:color="auto"/>
        <w:left w:val="none" w:sz="0" w:space="0" w:color="auto"/>
        <w:bottom w:val="none" w:sz="0" w:space="0" w:color="auto"/>
        <w:right w:val="none" w:sz="0" w:space="0" w:color="auto"/>
      </w:divBdr>
    </w:div>
    <w:div w:id="640237375">
      <w:bodyDiv w:val="1"/>
      <w:marLeft w:val="0"/>
      <w:marRight w:val="0"/>
      <w:marTop w:val="0"/>
      <w:marBottom w:val="0"/>
      <w:divBdr>
        <w:top w:val="none" w:sz="0" w:space="0" w:color="auto"/>
        <w:left w:val="none" w:sz="0" w:space="0" w:color="auto"/>
        <w:bottom w:val="none" w:sz="0" w:space="0" w:color="auto"/>
        <w:right w:val="none" w:sz="0" w:space="0" w:color="auto"/>
      </w:divBdr>
    </w:div>
    <w:div w:id="1745642549">
      <w:bodyDiv w:val="1"/>
      <w:marLeft w:val="0"/>
      <w:marRight w:val="0"/>
      <w:marTop w:val="0"/>
      <w:marBottom w:val="0"/>
      <w:divBdr>
        <w:top w:val="none" w:sz="0" w:space="0" w:color="auto"/>
        <w:left w:val="none" w:sz="0" w:space="0" w:color="auto"/>
        <w:bottom w:val="none" w:sz="0" w:space="0" w:color="auto"/>
        <w:right w:val="none" w:sz="0" w:space="0" w:color="auto"/>
      </w:divBdr>
    </w:div>
    <w:div w:id="193327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2CD8A6CB2FF448AE6A4591601676FF" ma:contentTypeVersion="0" ma:contentTypeDescription="Create a new document." ma:contentTypeScope="" ma:versionID="111a1143053b91c4e31e26a63c1e91d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1C423-E6E5-4B96-90D3-5E0C4E370C75}">
  <ds:schemaRefs>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B2D64ED4-A7D8-4408-AB1A-7238221FF93F}">
  <ds:schemaRefs>
    <ds:schemaRef ds:uri="http://schemas.microsoft.com/sharepoint/v3/contenttype/forms"/>
  </ds:schemaRefs>
</ds:datastoreItem>
</file>

<file path=customXml/itemProps3.xml><?xml version="1.0" encoding="utf-8"?>
<ds:datastoreItem xmlns:ds="http://schemas.openxmlformats.org/officeDocument/2006/customXml" ds:itemID="{8FBE9979-090B-4ECD-BC4D-92F0B3AF4D26}">
  <ds:schemaRefs>
    <ds:schemaRef ds:uri="http://schemas.openxmlformats.org/officeDocument/2006/bibliography"/>
  </ds:schemaRefs>
</ds:datastoreItem>
</file>

<file path=customXml/itemProps4.xml><?xml version="1.0" encoding="utf-8"?>
<ds:datastoreItem xmlns:ds="http://schemas.openxmlformats.org/officeDocument/2006/customXml" ds:itemID="{48EB3F1F-90DA-4257-A1B7-B973C0214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2022-04-11T12:57:00Z</dcterms:created>
  <dcterms:modified xsi:type="dcterms:W3CDTF">2022-05-05T18:44:00Z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0x010100E22CD8A6CB2FF448AE6A4591601676FF</vt:lpwstr>
  </property>
</Properties>
</file>