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C8E61" w14:textId="77777777" w:rsidR="009B2CB1" w:rsidRDefault="009B2CB1" w:rsidP="009B2CB1">
      <w:pPr>
        <w:pStyle w:val="Heading1"/>
        <w:spacing w:after="240"/>
        <w:rPr>
          <w:rFonts w:eastAsiaTheme="minorHAnsi"/>
        </w:rPr>
      </w:pPr>
      <w:r>
        <w:rPr>
          <w:rFonts w:eastAsiaTheme="minorHAnsi"/>
        </w:rPr>
        <w:t>MINUTES</w:t>
      </w:r>
    </w:p>
    <w:p w14:paraId="567EF15C" w14:textId="77777777" w:rsidR="009B2CB1" w:rsidRPr="009B2CB1" w:rsidRDefault="009B2CB1" w:rsidP="009B2CB1">
      <w:pPr>
        <w:pStyle w:val="Heading1"/>
        <w:spacing w:after="240"/>
        <w:jc w:val="left"/>
        <w:rPr>
          <w:rFonts w:eastAsiaTheme="minorHAnsi"/>
          <w:sz w:val="22"/>
          <w:szCs w:val="22"/>
        </w:rPr>
      </w:pPr>
      <w:r w:rsidRPr="009B2CB1">
        <w:rPr>
          <w:rFonts w:eastAsiaTheme="minorHAnsi"/>
          <w:sz w:val="22"/>
          <w:szCs w:val="22"/>
        </w:rPr>
        <w:t xml:space="preserve">Attendees: </w:t>
      </w:r>
      <w:r w:rsidRPr="009B2CB1">
        <w:rPr>
          <w:b w:val="0"/>
          <w:sz w:val="22"/>
          <w:szCs w:val="22"/>
        </w:rPr>
        <w:t>Trustees Present: Kevin Hyde (Chair), Jason Barrett, Selma Besirevic, Tom Bryan, Douglas Burnett, Jill Davis, Annie Egan, John Gol, Stephen Joost, Christopher Lazzara, Paul McElroy, Nik Patel, and John White</w:t>
      </w:r>
    </w:p>
    <w:p w14:paraId="5EFE3342" w14:textId="77777777" w:rsidR="009B2CB1" w:rsidRPr="00FA5184" w:rsidRDefault="009B2CB1" w:rsidP="009B2CB1">
      <w:pPr>
        <w:rPr>
          <w:rFonts w:ascii="Book Antiqua" w:hAnsi="Book Antiqua"/>
        </w:rPr>
      </w:pPr>
      <w:r w:rsidRPr="006942F1">
        <w:rPr>
          <w:rFonts w:ascii="Book Antiqua" w:hAnsi="Book Antiqua"/>
          <w:b/>
          <w:bCs/>
        </w:rPr>
        <w:t>Guests Present</w:t>
      </w:r>
      <w:r>
        <w:rPr>
          <w:rFonts w:ascii="Book Antiqua" w:hAnsi="Book Antiqua"/>
        </w:rPr>
        <w:t xml:space="preserve">: Dean Klostermeyer, Dean Lox, Dean Yendol-Hoppey, Dr. Eason, Director of Materials Science and Engineering Research Facility (MSERF) and Associate Dean </w:t>
      </w:r>
    </w:p>
    <w:p w14:paraId="590146D6" w14:textId="77777777" w:rsidR="009B2CB1" w:rsidRDefault="009B2CB1" w:rsidP="009B2CB1">
      <w:pPr>
        <w:pStyle w:val="Heading2"/>
      </w:pPr>
      <w:r>
        <w:t>Item 1</w:t>
      </w:r>
      <w:r>
        <w:tab/>
        <w:t>Call to Order</w:t>
      </w:r>
    </w:p>
    <w:p w14:paraId="2107741C" w14:textId="77777777" w:rsidR="009B2CB1" w:rsidRPr="00082AE5" w:rsidRDefault="009B2CB1" w:rsidP="009B2CB1">
      <w:pPr>
        <w:pStyle w:val="Heading2"/>
        <w:ind w:firstLine="0"/>
        <w:rPr>
          <w:b w:val="0"/>
          <w:bCs w:val="0"/>
        </w:rPr>
      </w:pPr>
      <w:r w:rsidRPr="00082AE5">
        <w:rPr>
          <w:b w:val="0"/>
          <w:bCs w:val="0"/>
        </w:rPr>
        <w:t xml:space="preserve">Chair Hyde called the meeting to order. </w:t>
      </w:r>
    </w:p>
    <w:p w14:paraId="35FE0D05" w14:textId="77777777" w:rsidR="009B2CB1" w:rsidRDefault="009B2CB1" w:rsidP="009B2CB1"/>
    <w:p w14:paraId="6E465128" w14:textId="77777777" w:rsidR="009B2CB1" w:rsidRDefault="009B2CB1" w:rsidP="009B2CB1">
      <w:pPr>
        <w:pStyle w:val="Heading2"/>
      </w:pPr>
      <w:r>
        <w:t>Item 2</w:t>
      </w:r>
      <w:r>
        <w:tab/>
        <w:t>Opening Remarks by the Chair</w:t>
      </w:r>
    </w:p>
    <w:p w14:paraId="1AA44B4B" w14:textId="77777777" w:rsidR="009B2CB1" w:rsidRPr="00082AE5" w:rsidRDefault="009B2CB1" w:rsidP="009B2CB1">
      <w:pPr>
        <w:pStyle w:val="Heading2"/>
        <w:rPr>
          <w:b w:val="0"/>
          <w:bCs w:val="0"/>
        </w:rPr>
      </w:pPr>
      <w:r>
        <w:tab/>
      </w:r>
      <w:r w:rsidRPr="00082AE5">
        <w:rPr>
          <w:b w:val="0"/>
          <w:bCs w:val="0"/>
        </w:rPr>
        <w:t xml:space="preserve">Chair Hyde introduced and welcomed new Trustee John Gol. </w:t>
      </w:r>
    </w:p>
    <w:p w14:paraId="2BE9351E" w14:textId="77777777" w:rsidR="009B2CB1" w:rsidRDefault="009B2CB1" w:rsidP="009B2CB1"/>
    <w:p w14:paraId="2CA79492" w14:textId="77777777" w:rsidR="009B2CB1" w:rsidRDefault="009B2CB1" w:rsidP="009B2CB1">
      <w:pPr>
        <w:pStyle w:val="Heading2"/>
      </w:pPr>
      <w:r>
        <w:t>Item 3</w:t>
      </w:r>
      <w:r>
        <w:tab/>
        <w:t xml:space="preserve">Public Comment </w:t>
      </w:r>
    </w:p>
    <w:p w14:paraId="33FB6242" w14:textId="77777777" w:rsidR="009B2CB1" w:rsidRPr="008A2CA8" w:rsidRDefault="009B2CB1" w:rsidP="009B2CB1">
      <w:pPr>
        <w:spacing w:after="0" w:line="240" w:lineRule="auto"/>
        <w:ind w:left="2880"/>
        <w:rPr>
          <w:iCs/>
        </w:rPr>
      </w:pPr>
      <w:r>
        <w:rPr>
          <w:rFonts w:ascii="Book Antiqua" w:hAnsi="Book Antiqua"/>
        </w:rPr>
        <w:t>Chair Hyde offered those in attendance the opportunity for public comment. There were no requests for public comment.</w:t>
      </w:r>
    </w:p>
    <w:p w14:paraId="4DF540D0" w14:textId="77777777" w:rsidR="009B2CB1" w:rsidRDefault="009B2CB1" w:rsidP="009B2CB1">
      <w:pPr>
        <w:spacing w:after="0" w:line="240" w:lineRule="auto"/>
        <w:ind w:left="2880"/>
        <w:rPr>
          <w:i/>
        </w:rPr>
      </w:pPr>
    </w:p>
    <w:p w14:paraId="54C4464D" w14:textId="77777777" w:rsidR="009B2CB1" w:rsidRDefault="009B2CB1" w:rsidP="009B2CB1">
      <w:pPr>
        <w:pStyle w:val="Heading2"/>
      </w:pPr>
      <w:r>
        <w:t>Item 4</w:t>
      </w:r>
      <w:r>
        <w:tab/>
        <w:t>Board Vice-Chair Election</w:t>
      </w:r>
    </w:p>
    <w:p w14:paraId="08C9D08B" w14:textId="77777777" w:rsidR="009B2CB1" w:rsidRDefault="009B2CB1" w:rsidP="009B2CB1">
      <w:pPr>
        <w:ind w:left="2880"/>
        <w:rPr>
          <w:rFonts w:ascii="Book Antiqua" w:hAnsi="Book Antiqua"/>
        </w:rPr>
      </w:pPr>
      <w:r>
        <w:rPr>
          <w:rFonts w:ascii="Book Antiqua" w:hAnsi="Book Antiqua"/>
        </w:rPr>
        <w:t xml:space="preserve">Chair Hyde referenced Board Vice-Chair </w:t>
      </w:r>
      <w:proofErr w:type="spellStart"/>
      <w:r>
        <w:rPr>
          <w:rFonts w:ascii="Book Antiqua" w:hAnsi="Book Antiqua"/>
        </w:rPr>
        <w:t>Wamble</w:t>
      </w:r>
      <w:proofErr w:type="spellEnd"/>
      <w:r>
        <w:rPr>
          <w:rFonts w:ascii="Book Antiqua" w:hAnsi="Book Antiqua"/>
        </w:rPr>
        <w:t xml:space="preserve">-King’s recent completion of her final term as a Trustee, in June 2021, and expressed the University’s and Board’s gratitude for her service. He stated that, pursuant, to Board Bylaws, as the Board now had a vacancy for the office of Vice Chair, the Board would now hold that election. (The Trustees had been notified in advance that the election would take place.) Chair Hyde asked if there were any nominations for Vice Chair. Trustee White nominated Trustee McElroy. Trustee Egan SECONDED the nomination. Chair Hyde asked if there were additional nominations. There were no additional nominations. Chair Hyde asked for a vote on the </w:t>
      </w:r>
      <w:r>
        <w:rPr>
          <w:rFonts w:ascii="Book Antiqua" w:hAnsi="Book Antiqua"/>
        </w:rPr>
        <w:lastRenderedPageBreak/>
        <w:t xml:space="preserve">nomination of Trustee McElroy. The Board unanimously elected Trustee McElroy as Vice Chair. </w:t>
      </w:r>
    </w:p>
    <w:p w14:paraId="41520C6F" w14:textId="77777777" w:rsidR="009B2CB1" w:rsidRDefault="009B2CB1" w:rsidP="009B2CB1">
      <w:pPr>
        <w:pStyle w:val="Heading2"/>
      </w:pPr>
      <w:bookmarkStart w:id="0" w:name="_Hlk77874086"/>
      <w:r>
        <w:t>Item 5</w:t>
      </w:r>
      <w:r>
        <w:tab/>
        <w:t>Request for Approval of Fee Increase for Child Development Resource Center (CDRC)</w:t>
      </w:r>
    </w:p>
    <w:p w14:paraId="03B3D10D" w14:textId="77777777" w:rsidR="009B2CB1" w:rsidRDefault="009B2CB1" w:rsidP="009B2CB1">
      <w:pPr>
        <w:ind w:left="2880"/>
        <w:rPr>
          <w:rFonts w:ascii="Book Antiqua" w:hAnsi="Book Antiqua"/>
        </w:rPr>
      </w:pPr>
      <w:r>
        <w:rPr>
          <w:rFonts w:ascii="Book Antiqua" w:hAnsi="Book Antiqua"/>
        </w:rPr>
        <w:t xml:space="preserve">Vice President Bennett presented the proposed fee increase for the Child Development Research Center (CDRC), also known as the UNF Preschool. He stated that the University had conducted a recent review of comparable high quality childcare centers in the north Florida region which showed that a modest fee increase for non-students was warranted to maintain the quality of programming and offset increased labor costs. Vice President Bennett noted that the $5 increase would not apply to students using the Preschool’s services (but rather to alumni and the </w:t>
      </w:r>
      <w:proofErr w:type="gramStart"/>
      <w:r>
        <w:rPr>
          <w:rFonts w:ascii="Book Antiqua" w:hAnsi="Book Antiqua"/>
        </w:rPr>
        <w:t>general public</w:t>
      </w:r>
      <w:proofErr w:type="gramEnd"/>
      <w:r>
        <w:rPr>
          <w:rFonts w:ascii="Book Antiqua" w:hAnsi="Book Antiqua"/>
        </w:rPr>
        <w:t xml:space="preserve">). Trustee White, Chairman of the Preschool Advisory Board, stated that the University had done market research and found that the rates at the Preschool are significantly lower than other centers, yet it offers high quality programming. Trustee Lazzara asked how many children were enrolled at the Preschool. Dean Yendol-Hoppey confirmed that the Preschool has between 80-90 enrolled students. Trustee McElroy noted that the mission of the Preschool is to provide services and opportunities for the students to support their participation in classes and their studies, for the faculty, for students in early childhood education programs, and the </w:t>
      </w:r>
      <w:proofErr w:type="gramStart"/>
      <w:r>
        <w:rPr>
          <w:rFonts w:ascii="Book Antiqua" w:hAnsi="Book Antiqua"/>
        </w:rPr>
        <w:t>general public</w:t>
      </w:r>
      <w:proofErr w:type="gramEnd"/>
      <w:r>
        <w:rPr>
          <w:rFonts w:ascii="Book Antiqua" w:hAnsi="Book Antiqua"/>
        </w:rPr>
        <w:t xml:space="preserve">. He stated that the Preschool is a warm and inclusive center which integrates well into what the University is working to accomplish. </w:t>
      </w:r>
    </w:p>
    <w:p w14:paraId="24678138" w14:textId="77777777" w:rsidR="009B2CB1" w:rsidRPr="0061756E" w:rsidRDefault="009B2CB1" w:rsidP="009B2CB1">
      <w:pPr>
        <w:spacing w:line="276" w:lineRule="auto"/>
        <w:ind w:left="2880"/>
        <w:rPr>
          <w:rFonts w:ascii="Book Antiqua" w:hAnsi="Book Antiqua"/>
        </w:rPr>
      </w:pPr>
      <w:r>
        <w:rPr>
          <w:rFonts w:ascii="Book Antiqua" w:hAnsi="Book Antiqua"/>
        </w:rPr>
        <w:t>Trustee Joost made a MOTION to APPROVE, and Trustee Burnett SECONDED.</w:t>
      </w:r>
      <w:r>
        <w:rPr>
          <w:rFonts w:ascii="Book Antiqua" w:hAnsi="Book Antiqua"/>
        </w:rPr>
        <w:tab/>
      </w:r>
      <w:bookmarkEnd w:id="0"/>
      <w:r>
        <w:rPr>
          <w:rFonts w:ascii="Book Antiqua" w:hAnsi="Book Antiqua"/>
        </w:rPr>
        <w:tab/>
      </w:r>
      <w:r>
        <w:rPr>
          <w:rFonts w:ascii="Book Antiqua" w:hAnsi="Book Antiqua"/>
        </w:rPr>
        <w:tab/>
      </w:r>
    </w:p>
    <w:p w14:paraId="31D4FC3D" w14:textId="77777777" w:rsidR="009B2CB1" w:rsidRPr="00637C5A" w:rsidRDefault="009B2CB1" w:rsidP="009B2CB1">
      <w:pPr>
        <w:pStyle w:val="Heading2"/>
      </w:pPr>
      <w:r w:rsidRPr="00637C5A">
        <w:t xml:space="preserve">Item 6                                      </w:t>
      </w:r>
      <w:r w:rsidRPr="00637C5A">
        <w:tab/>
        <w:t>Legislative Budget Request (LBR) for 2022-2023</w:t>
      </w:r>
    </w:p>
    <w:p w14:paraId="52DD8128" w14:textId="77777777" w:rsidR="009B2CB1" w:rsidRDefault="009B2CB1" w:rsidP="009B2CB1">
      <w:pPr>
        <w:spacing w:after="0" w:line="240" w:lineRule="auto"/>
        <w:ind w:left="2880"/>
        <w:rPr>
          <w:rFonts w:ascii="Book Antiqua" w:hAnsi="Book Antiqua"/>
        </w:rPr>
      </w:pPr>
      <w:r>
        <w:rPr>
          <w:rFonts w:ascii="Book Antiqua" w:hAnsi="Book Antiqua"/>
        </w:rPr>
        <w:t xml:space="preserve">President Szymanski reemphasized that the University has continued to focus on making higher education accessible to and more affordable for students - many of whom are first-generation students. He reminded the Board that when the University had submitted its 2020-2021 LBR it had done so emphasizing what makes the University unique – as a </w:t>
      </w:r>
      <w:r>
        <w:rPr>
          <w:rFonts w:ascii="Book Antiqua" w:hAnsi="Book Antiqua"/>
          <w:i/>
          <w:iCs/>
        </w:rPr>
        <w:t>University of Distinction</w:t>
      </w:r>
      <w:r>
        <w:rPr>
          <w:rFonts w:ascii="Book Antiqua" w:hAnsi="Book Antiqua"/>
        </w:rPr>
        <w:t xml:space="preserve">, and established </w:t>
      </w:r>
      <w:proofErr w:type="spellStart"/>
      <w:r>
        <w:rPr>
          <w:rFonts w:ascii="Book Antiqua" w:hAnsi="Book Antiqua"/>
        </w:rPr>
        <w:t>MEDNexus</w:t>
      </w:r>
      <w:proofErr w:type="spellEnd"/>
      <w:r>
        <w:rPr>
          <w:rFonts w:ascii="Book Antiqua" w:hAnsi="Book Antiqua"/>
        </w:rPr>
        <w:t xml:space="preserve">. The University’s 2020-2021 LBR had sought funding for Phase I (the foundation) of </w:t>
      </w:r>
      <w:proofErr w:type="spellStart"/>
      <w:r>
        <w:rPr>
          <w:rFonts w:ascii="Book Antiqua" w:hAnsi="Book Antiqua"/>
        </w:rPr>
        <w:t>MEDNexus</w:t>
      </w:r>
      <w:proofErr w:type="spellEnd"/>
      <w:r>
        <w:rPr>
          <w:rFonts w:ascii="Book Antiqua" w:hAnsi="Book Antiqua"/>
        </w:rPr>
        <w:t xml:space="preserve">, with a focus on equipment and facilities, nursing, engineering, faculty hires in nursing and nursing scholarships. The President highlighted that the 2021-2022 LBR $6M request sought funds for Phase II of </w:t>
      </w:r>
      <w:proofErr w:type="spellStart"/>
      <w:r>
        <w:rPr>
          <w:rFonts w:ascii="Book Antiqua" w:hAnsi="Book Antiqua"/>
        </w:rPr>
        <w:t>MEDNexus</w:t>
      </w:r>
      <w:proofErr w:type="spellEnd"/>
      <w:r>
        <w:rPr>
          <w:rFonts w:ascii="Book Antiqua" w:hAnsi="Book Antiqua"/>
        </w:rPr>
        <w:t xml:space="preserve"> (program expansion), with its focus on faculty hires in nursing, analytics, and physical therapy, expansion of medical 3D printing capabilities, and providing additional scholarships.</w:t>
      </w:r>
    </w:p>
    <w:p w14:paraId="16B0C2EF" w14:textId="77777777" w:rsidR="009B2CB1" w:rsidRDefault="009B2CB1" w:rsidP="009B2CB1">
      <w:pPr>
        <w:spacing w:after="0" w:line="240" w:lineRule="auto"/>
        <w:rPr>
          <w:rFonts w:ascii="Book Antiqua" w:hAnsi="Book Antiqua"/>
        </w:rPr>
      </w:pPr>
    </w:p>
    <w:p w14:paraId="163317C7" w14:textId="77777777" w:rsidR="009B2CB1" w:rsidRDefault="009B2CB1" w:rsidP="009B2CB1">
      <w:pPr>
        <w:spacing w:after="0" w:line="240" w:lineRule="auto"/>
        <w:ind w:left="2880"/>
        <w:rPr>
          <w:rFonts w:ascii="Book Antiqua" w:hAnsi="Book Antiqua"/>
        </w:rPr>
      </w:pPr>
      <w:r>
        <w:rPr>
          <w:rFonts w:ascii="Book Antiqua" w:hAnsi="Book Antiqua"/>
        </w:rPr>
        <w:t xml:space="preserve">He reviewed the proposed 2022-2023 LBR by category (Nursing Faculty and Staff Request, Medical 3D Printing and Staff Request, and Scholarships), as well as recurring and non-recurring funds requested. Trustees Bryan, Burnett, Egan and Lazzara all stated that they agreed that demand for 3D printing has been increasing rapidly.  The President stated that the University wants to increase its BSN graduates by 25 and masters-level graduates by 50. He added that one constraint the University has faced is the availability of clinical opportunities and that a focus of </w:t>
      </w:r>
      <w:proofErr w:type="spellStart"/>
      <w:r>
        <w:rPr>
          <w:rFonts w:ascii="Book Antiqua" w:hAnsi="Book Antiqua"/>
        </w:rPr>
        <w:t>MEDNexus</w:t>
      </w:r>
      <w:proofErr w:type="spellEnd"/>
      <w:r>
        <w:rPr>
          <w:rFonts w:ascii="Book Antiqua" w:hAnsi="Book Antiqua"/>
        </w:rPr>
        <w:t xml:space="preserve"> partnerships will be working to expand these offerings. </w:t>
      </w:r>
    </w:p>
    <w:p w14:paraId="4123F5AD" w14:textId="77777777" w:rsidR="009B2CB1" w:rsidRDefault="009B2CB1" w:rsidP="009B2CB1">
      <w:pPr>
        <w:spacing w:after="0" w:line="240" w:lineRule="auto"/>
        <w:ind w:left="2880"/>
        <w:rPr>
          <w:rFonts w:ascii="Book Antiqua" w:hAnsi="Book Antiqua"/>
        </w:rPr>
      </w:pPr>
    </w:p>
    <w:p w14:paraId="1B94B329" w14:textId="77777777" w:rsidR="009B2CB1" w:rsidRDefault="009B2CB1" w:rsidP="009B2CB1">
      <w:pPr>
        <w:spacing w:after="0" w:line="240" w:lineRule="auto"/>
        <w:ind w:left="2880"/>
        <w:rPr>
          <w:rFonts w:ascii="Book Antiqua" w:hAnsi="Book Antiqua"/>
        </w:rPr>
      </w:pPr>
      <w:r>
        <w:rPr>
          <w:rFonts w:ascii="Book Antiqua" w:hAnsi="Book Antiqua"/>
        </w:rPr>
        <w:t xml:space="preserve">Trustee Egan asked what percentage of the 3D printer will be accessed by students and how its use will differ from the use of the 3D printer that Johnson &amp; Johnson currently has. Dr. Eason, Director of the Materials Science and Engineering Research Facility (MSERF) and Associate Dean, College of Computing, Engineering and Construction, stated that the 3D printing equipment referenced in the 2022-2023 LBR would be fully accessible to faculty and students alone. He relayed that Johnson &amp; Johnson has offered to add curriculum to the University’s advanced manufacturing degree program which will train students on the equipment. Professor Eason stated that the 3D printing equipment that Johnson &amp; Johnson already has is accessible to students and faculty on a research and internship basis, but that that equipment is primarily their equipment. </w:t>
      </w:r>
    </w:p>
    <w:p w14:paraId="32A9E00C" w14:textId="77777777" w:rsidR="009B2CB1" w:rsidRDefault="009B2CB1" w:rsidP="009B2CB1">
      <w:pPr>
        <w:ind w:left="2880"/>
        <w:rPr>
          <w:rFonts w:ascii="Book Antiqua" w:hAnsi="Book Antiqua"/>
        </w:rPr>
      </w:pPr>
      <w:r>
        <w:rPr>
          <w:rFonts w:ascii="Book Antiqua" w:hAnsi="Book Antiqua"/>
        </w:rPr>
        <w:t xml:space="preserve">Trustee Egan asked how many faculty or students are currently doing research with Johnson &amp; Johnson with their existing equipment. Dr. Eason stated that there are two faculty in advanced manufacturing who currently work with Johnson &amp; Johnson on advanced manufacturing processes (and have been trained on the manufacturing systems at both UNF and at the Johnson &amp; Johnson contact lens factory. He added that Johnson &amp; Johnson fund research for two faculty members in the School of Engineering. Dr. Eason stated that Johnson &amp; Johnson had recently hired three UNF graduates to work in the Johnson &amp; Johnson facility and that they are committed in this next phase of the University’s LBR to bring in more interns as part of a structured program in advanced manufacturing. </w:t>
      </w:r>
    </w:p>
    <w:p w14:paraId="3A04F005" w14:textId="77777777" w:rsidR="009B2CB1" w:rsidRDefault="009B2CB1" w:rsidP="009B2CB1">
      <w:pPr>
        <w:ind w:left="2880"/>
        <w:rPr>
          <w:rFonts w:ascii="Book Antiqua" w:hAnsi="Book Antiqua"/>
        </w:rPr>
      </w:pPr>
      <w:r>
        <w:rPr>
          <w:rFonts w:ascii="Book Antiqua" w:hAnsi="Book Antiqua"/>
        </w:rPr>
        <w:t xml:space="preserve">Trustee Egan asked if Johnson &amp; Johnson were to develop a patented product using the University’s equipment if the University will share in the patent process. President Szymanski stated that if the University has a faculty member and students working on it then it does </w:t>
      </w:r>
      <w:proofErr w:type="gramStart"/>
      <w:r>
        <w:rPr>
          <w:rFonts w:ascii="Book Antiqua" w:hAnsi="Book Antiqua"/>
        </w:rPr>
        <w:t>becomes</w:t>
      </w:r>
      <w:proofErr w:type="gramEnd"/>
      <w:r>
        <w:rPr>
          <w:rFonts w:ascii="Book Antiqua" w:hAnsi="Book Antiqua"/>
        </w:rPr>
        <w:t xml:space="preserve"> part of the institution. He stated that there are several opportunities for funding and for research collaboration. He also stated that the LBR was developed to support these types of collaborations on research innovation.</w:t>
      </w:r>
    </w:p>
    <w:p w14:paraId="6A78CA7A" w14:textId="77777777" w:rsidR="009B2CB1" w:rsidRDefault="009B2CB1" w:rsidP="009B2CB1">
      <w:pPr>
        <w:ind w:left="2880"/>
        <w:rPr>
          <w:rFonts w:ascii="Book Antiqua" w:hAnsi="Book Antiqua"/>
        </w:rPr>
      </w:pPr>
      <w:r>
        <w:rPr>
          <w:rFonts w:ascii="Book Antiqua" w:hAnsi="Book Antiqua"/>
        </w:rPr>
        <w:t xml:space="preserve">Trustee Egan asked for clarification on the request for recurring and non-recurring funds. The President stated that the request for dollars for the 3D printing equipment was for non-recurring dollars. He relayed that the request for recurring dollars relates to faculty and staff. The President emphasized that </w:t>
      </w:r>
      <w:proofErr w:type="spellStart"/>
      <w:r>
        <w:rPr>
          <w:rFonts w:ascii="Book Antiqua" w:hAnsi="Book Antiqua"/>
        </w:rPr>
        <w:t>MEDNexus</w:t>
      </w:r>
      <w:proofErr w:type="spellEnd"/>
      <w:r>
        <w:rPr>
          <w:rFonts w:ascii="Book Antiqua" w:hAnsi="Book Antiqua"/>
        </w:rPr>
        <w:t xml:space="preserve"> will also focus on developing public-private partnerships. </w:t>
      </w:r>
    </w:p>
    <w:p w14:paraId="36FCA248" w14:textId="77777777" w:rsidR="009B2CB1" w:rsidRDefault="009B2CB1" w:rsidP="009B2CB1">
      <w:pPr>
        <w:ind w:left="2880"/>
        <w:rPr>
          <w:rFonts w:ascii="Book Antiqua" w:hAnsi="Book Antiqua"/>
        </w:rPr>
      </w:pPr>
      <w:r>
        <w:rPr>
          <w:rFonts w:ascii="Book Antiqua" w:hAnsi="Book Antiqua"/>
        </w:rPr>
        <w:t xml:space="preserve">Trustee Bryan asked if Vice President Bowling might talk, in the future, about the companies the University hosts and opportunities that are being created for students. He relayed it would be also be helpful at a future meeting to have an additional presentation on how the University and organizations such as Johnson &amp; Johnson are working together in terms of collaboration on research. </w:t>
      </w:r>
    </w:p>
    <w:p w14:paraId="14EA7695" w14:textId="77777777" w:rsidR="009B2CB1" w:rsidRDefault="009B2CB1" w:rsidP="009B2CB1">
      <w:pPr>
        <w:ind w:left="2880"/>
        <w:rPr>
          <w:rFonts w:ascii="Book Antiqua" w:hAnsi="Book Antiqua"/>
        </w:rPr>
      </w:pPr>
      <w:r>
        <w:rPr>
          <w:rFonts w:ascii="Book Antiqua" w:hAnsi="Book Antiqua"/>
        </w:rPr>
        <w:t xml:space="preserve">The President relayed that the University is working to better integrate this partnership with Johnson &amp; Johnson, a world leader in its field, and that he believes the opportunities that come from this partnership will enhance both faculty and student recruitment and retention. </w:t>
      </w:r>
    </w:p>
    <w:p w14:paraId="01D3DE1E" w14:textId="77777777" w:rsidR="009B2CB1" w:rsidRDefault="009B2CB1" w:rsidP="009B2CB1">
      <w:pPr>
        <w:ind w:left="2880"/>
        <w:rPr>
          <w:rFonts w:ascii="Book Antiqua" w:hAnsi="Book Antiqua"/>
        </w:rPr>
      </w:pPr>
      <w:r>
        <w:rPr>
          <w:rFonts w:ascii="Book Antiqua" w:hAnsi="Book Antiqua"/>
        </w:rPr>
        <w:t xml:space="preserve">Trustee White asked if the University would request recurring dollars in future years for the faculty hires associated with the 2022-2023 LBR. Vice President Duncan stated that, for the LBR, all requests for faculty are requests for recurring dollars. She added that, with this year’s request, the same holds true – that the University is requesting recurring dollars for all faculty and for all scholarships. </w:t>
      </w:r>
    </w:p>
    <w:p w14:paraId="37FCC9EA" w14:textId="77777777" w:rsidR="009B2CB1" w:rsidRDefault="009B2CB1" w:rsidP="009B2CB1">
      <w:pPr>
        <w:spacing w:line="252" w:lineRule="auto"/>
        <w:ind w:left="2880"/>
        <w:rPr>
          <w:rFonts w:ascii="Book Antiqua" w:hAnsi="Book Antiqua"/>
        </w:rPr>
      </w:pPr>
      <w:r>
        <w:rPr>
          <w:rFonts w:ascii="Book Antiqua" w:hAnsi="Book Antiqua"/>
        </w:rPr>
        <w:t xml:space="preserve">Trustee White asked about the process through which LBRs are generated. President Szymanski relayed that there are different ways that the LBR is developed – they can percolate ‘up;’ he stated that, in this case, the 2022-2023 LBR built upon the LBR that was approved last year by the Board of Trustees and the Board of Governors. </w:t>
      </w:r>
    </w:p>
    <w:p w14:paraId="77DAE582" w14:textId="77777777" w:rsidR="009B2CB1" w:rsidRDefault="009B2CB1" w:rsidP="009B2CB1">
      <w:pPr>
        <w:ind w:left="2880"/>
        <w:rPr>
          <w:rFonts w:ascii="Book Antiqua" w:hAnsi="Book Antiqua"/>
        </w:rPr>
      </w:pPr>
      <w:r>
        <w:rPr>
          <w:rFonts w:ascii="Book Antiqua" w:hAnsi="Book Antiqua"/>
        </w:rPr>
        <w:t xml:space="preserve">Chair Hyde asked if there were any additional questions. He stated that in his conversations with the President and Vice President Duncan, he understood this to be a continuation of the University’s previous work on </w:t>
      </w:r>
      <w:proofErr w:type="spellStart"/>
      <w:r>
        <w:rPr>
          <w:rFonts w:ascii="Book Antiqua" w:hAnsi="Book Antiqua"/>
        </w:rPr>
        <w:t>MEDNexus</w:t>
      </w:r>
      <w:proofErr w:type="spellEnd"/>
      <w:r>
        <w:rPr>
          <w:rFonts w:ascii="Book Antiqua" w:hAnsi="Book Antiqua"/>
        </w:rPr>
        <w:t xml:space="preserve"> and its work on leveraging its strength in the medical/healthcare field. </w:t>
      </w:r>
    </w:p>
    <w:p w14:paraId="23A3925B" w14:textId="77777777" w:rsidR="009B2CB1" w:rsidRDefault="009B2CB1" w:rsidP="009B2CB1">
      <w:pPr>
        <w:ind w:left="2880"/>
        <w:rPr>
          <w:rFonts w:ascii="Book Antiqua" w:hAnsi="Book Antiqua"/>
        </w:rPr>
      </w:pPr>
      <w:r>
        <w:rPr>
          <w:rFonts w:ascii="Book Antiqua" w:hAnsi="Book Antiqua"/>
        </w:rPr>
        <w:t xml:space="preserve">There being no additional questions, Chair Hyde asked if there were a MOTION to APPROVE. Trustee Patel made a MOTION to APPROVE, and Trustee Burnett SECONDED. The motion was approved by a 12 to 1 vote, with Trustee White voting “no.” </w:t>
      </w:r>
      <w:r>
        <w:rPr>
          <w:rFonts w:ascii="Book Antiqua" w:hAnsi="Book Antiqua"/>
          <w:b/>
          <w:bCs/>
        </w:rPr>
        <w:t xml:space="preserve">                                           </w:t>
      </w:r>
    </w:p>
    <w:p w14:paraId="553276B6" w14:textId="77777777" w:rsidR="009B2CB1" w:rsidRDefault="009B2CB1" w:rsidP="009B2CB1">
      <w:pPr>
        <w:pStyle w:val="Heading2"/>
      </w:pPr>
      <w:r>
        <w:t>Item 7</w:t>
      </w:r>
      <w:r>
        <w:tab/>
      </w:r>
      <w:r w:rsidRPr="00930A4C">
        <w:rPr>
          <w:rStyle w:val="Heading2Char"/>
          <w:b/>
          <w:bCs/>
        </w:rPr>
        <w:t>Adjournment</w:t>
      </w:r>
    </w:p>
    <w:p w14:paraId="0C01132A" w14:textId="77777777" w:rsidR="009B2CB1" w:rsidRDefault="009B2CB1" w:rsidP="009B2CB1">
      <w:pPr>
        <w:spacing w:after="0" w:line="360" w:lineRule="auto"/>
        <w:rPr>
          <w:rFonts w:ascii="Book Antiqua" w:eastAsia="Times New Roman" w:hAnsi="Book Antiqua" w:cs="Calibri"/>
          <w:b/>
          <w:bCs/>
          <w:iCs/>
        </w:rPr>
      </w:pPr>
    </w:p>
    <w:p w14:paraId="59E2F091" w14:textId="77777777" w:rsidR="00ED0229" w:rsidRDefault="00ED0229"/>
    <w:sectPr w:rsidR="00ED022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49621" w14:textId="77777777" w:rsidR="009B2CB1" w:rsidRDefault="009B2CB1" w:rsidP="009B2CB1">
      <w:pPr>
        <w:spacing w:after="0" w:line="240" w:lineRule="auto"/>
      </w:pPr>
      <w:r>
        <w:separator/>
      </w:r>
    </w:p>
  </w:endnote>
  <w:endnote w:type="continuationSeparator" w:id="0">
    <w:p w14:paraId="3263980B" w14:textId="77777777" w:rsidR="009B2CB1" w:rsidRDefault="009B2CB1" w:rsidP="009B2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4D157" w14:textId="77777777" w:rsidR="009B2CB1" w:rsidRDefault="009B2CB1" w:rsidP="009B2CB1">
      <w:pPr>
        <w:spacing w:after="0" w:line="240" w:lineRule="auto"/>
      </w:pPr>
      <w:r>
        <w:separator/>
      </w:r>
    </w:p>
  </w:footnote>
  <w:footnote w:type="continuationSeparator" w:id="0">
    <w:p w14:paraId="0C6380B1" w14:textId="77777777" w:rsidR="009B2CB1" w:rsidRDefault="009B2CB1" w:rsidP="009B2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CF707" w14:textId="77777777" w:rsidR="009B2CB1" w:rsidRDefault="009B2CB1" w:rsidP="009B2CB1">
    <w:pPr>
      <w:pStyle w:val="Header"/>
      <w:jc w:val="center"/>
    </w:pPr>
    <w:r w:rsidRPr="00772D14">
      <w:rPr>
        <w:noProof/>
      </w:rPr>
      <w:drawing>
        <wp:inline distT="0" distB="0" distL="0" distR="0" wp14:anchorId="2497DA49" wp14:editId="709DDF5C">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75CDAB45" w14:textId="77777777" w:rsidR="009B2CB1" w:rsidRDefault="009B2CB1" w:rsidP="009B2CB1">
    <w:pPr>
      <w:pStyle w:val="Header"/>
      <w:jc w:val="center"/>
    </w:pPr>
  </w:p>
  <w:p w14:paraId="6E306D33" w14:textId="77777777" w:rsidR="009B2CB1" w:rsidRDefault="009B2CB1" w:rsidP="009B2CB1">
    <w:pPr>
      <w:pStyle w:val="Header"/>
      <w:jc w:val="center"/>
      <w:rPr>
        <w:rFonts w:ascii="Book Antiqua" w:hAnsi="Book Antiqua"/>
        <w:b/>
        <w:sz w:val="24"/>
        <w:szCs w:val="24"/>
      </w:rPr>
    </w:pPr>
  </w:p>
  <w:p w14:paraId="52DA3689" w14:textId="77777777" w:rsidR="009B2CB1" w:rsidRPr="00D46AC3" w:rsidRDefault="009B2CB1" w:rsidP="009B2CB1">
    <w:pPr>
      <w:pStyle w:val="Header"/>
      <w:jc w:val="center"/>
      <w:rPr>
        <w:rFonts w:ascii="Book Antiqua" w:hAnsi="Book Antiqua"/>
        <w:b/>
        <w:sz w:val="24"/>
        <w:szCs w:val="24"/>
      </w:rPr>
    </w:pPr>
    <w:r w:rsidRPr="00D46AC3">
      <w:rPr>
        <w:rFonts w:ascii="Book Antiqua" w:hAnsi="Book Antiqua"/>
        <w:b/>
        <w:sz w:val="24"/>
        <w:szCs w:val="24"/>
      </w:rPr>
      <w:t xml:space="preserve">Board of Trustees </w:t>
    </w:r>
    <w:r>
      <w:rPr>
        <w:rFonts w:ascii="Book Antiqua" w:hAnsi="Book Antiqua"/>
        <w:b/>
        <w:sz w:val="24"/>
        <w:szCs w:val="24"/>
      </w:rPr>
      <w:t>Meeting</w:t>
    </w:r>
  </w:p>
  <w:p w14:paraId="186B0D19" w14:textId="77777777" w:rsidR="009B2CB1" w:rsidRPr="00D46AC3" w:rsidRDefault="009B2CB1" w:rsidP="009B2CB1">
    <w:pPr>
      <w:pStyle w:val="Header"/>
      <w:jc w:val="center"/>
      <w:rPr>
        <w:rFonts w:ascii="Book Antiqua" w:hAnsi="Book Antiqua"/>
        <w:b/>
        <w:sz w:val="24"/>
        <w:szCs w:val="24"/>
      </w:rPr>
    </w:pPr>
  </w:p>
  <w:p w14:paraId="5DE23E10" w14:textId="77777777" w:rsidR="009B2CB1" w:rsidRDefault="009B2CB1" w:rsidP="009B2CB1">
    <w:pPr>
      <w:pStyle w:val="Header"/>
      <w:jc w:val="center"/>
      <w:rPr>
        <w:rFonts w:ascii="Book Antiqua" w:hAnsi="Book Antiqua"/>
        <w:b/>
        <w:sz w:val="24"/>
        <w:szCs w:val="24"/>
      </w:rPr>
    </w:pPr>
    <w:r>
      <w:rPr>
        <w:rFonts w:ascii="Book Antiqua" w:hAnsi="Book Antiqua"/>
        <w:b/>
        <w:sz w:val="24"/>
        <w:szCs w:val="24"/>
      </w:rPr>
      <w:t>July 15</w:t>
    </w:r>
    <w:r w:rsidRPr="00D46AC3">
      <w:rPr>
        <w:rFonts w:ascii="Book Antiqua" w:hAnsi="Book Antiqua"/>
        <w:b/>
        <w:sz w:val="24"/>
        <w:szCs w:val="24"/>
      </w:rPr>
      <w:t>, 202</w:t>
    </w:r>
    <w:r>
      <w:rPr>
        <w:rFonts w:ascii="Book Antiqua" w:hAnsi="Book Antiqua"/>
        <w:b/>
        <w:sz w:val="24"/>
        <w:szCs w:val="24"/>
      </w:rPr>
      <w:t>1</w:t>
    </w:r>
  </w:p>
  <w:p w14:paraId="4B73DEAD" w14:textId="77777777" w:rsidR="009B2CB1" w:rsidRDefault="009B2CB1" w:rsidP="009B2CB1">
    <w:pPr>
      <w:pStyle w:val="Header"/>
      <w:jc w:val="center"/>
      <w:rPr>
        <w:rFonts w:ascii="Book Antiqua" w:hAnsi="Book Antiqua"/>
        <w:i/>
        <w:iCs/>
        <w:sz w:val="24"/>
        <w:szCs w:val="24"/>
      </w:rPr>
    </w:pPr>
  </w:p>
  <w:p w14:paraId="37327E25" w14:textId="77777777" w:rsidR="009B2CB1" w:rsidRPr="00DD724F" w:rsidRDefault="009B2CB1" w:rsidP="009B2CB1">
    <w:pPr>
      <w:pStyle w:val="Header"/>
      <w:jc w:val="center"/>
      <w:rPr>
        <w:rFonts w:ascii="Book Antiqua" w:hAnsi="Book Antiqua"/>
        <w:b/>
        <w:bCs/>
        <w:sz w:val="24"/>
        <w:szCs w:val="24"/>
      </w:rPr>
    </w:pPr>
    <w:r w:rsidRPr="00DD724F">
      <w:rPr>
        <w:rFonts w:ascii="Book Antiqua" w:hAnsi="Book Antiqua"/>
        <w:b/>
        <w:bCs/>
        <w:sz w:val="24"/>
        <w:szCs w:val="24"/>
      </w:rPr>
      <w:t>11:00 a.m. – 12:00 p.m.</w:t>
    </w:r>
  </w:p>
  <w:p w14:paraId="271E2F7A" w14:textId="77777777" w:rsidR="009B2CB1" w:rsidRDefault="009B2CB1" w:rsidP="009B2CB1">
    <w:pPr>
      <w:pStyle w:val="Header"/>
      <w:jc w:val="center"/>
      <w:rPr>
        <w:rFonts w:ascii="Book Antiqua" w:hAnsi="Book Antiqua"/>
        <w:i/>
        <w:iCs/>
        <w:sz w:val="24"/>
        <w:szCs w:val="24"/>
      </w:rPr>
    </w:pPr>
  </w:p>
  <w:p w14:paraId="4C103396" w14:textId="77777777" w:rsidR="009B2CB1" w:rsidRDefault="009B2CB1" w:rsidP="009B2CB1">
    <w:pPr>
      <w:pStyle w:val="Header"/>
      <w:jc w:val="center"/>
      <w:rPr>
        <w:rFonts w:ascii="Book Antiqua" w:hAnsi="Book Antiqua"/>
        <w:i/>
        <w:iCs/>
        <w:sz w:val="24"/>
        <w:szCs w:val="24"/>
      </w:rPr>
    </w:pPr>
    <w:r>
      <w:rPr>
        <w:rFonts w:ascii="Book Antiqua" w:hAnsi="Book Antiqua"/>
        <w:i/>
        <w:iCs/>
        <w:sz w:val="24"/>
        <w:szCs w:val="24"/>
      </w:rPr>
      <w:t>Virtual Meeting</w:t>
    </w:r>
  </w:p>
  <w:p w14:paraId="566964B7" w14:textId="77777777" w:rsidR="009B2CB1" w:rsidRDefault="009B2C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1" w:cryptProviderType="rsaAES" w:cryptAlgorithmClass="hash" w:cryptAlgorithmType="typeAny" w:cryptAlgorithmSid="14" w:cryptSpinCount="100000" w:hash="mvfkHc9s+fj3H7NenuOuNKj3PjUoJQvuSgDQWuTR+03Ca7Iy+DjFHeXHUwKm19ozejK+y8wDX1lA6nEbci8WwQ==" w:salt="BZhn3nKHhGdA4RkXXpYigg=="/>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B1"/>
    <w:rsid w:val="009B2CB1"/>
    <w:rsid w:val="00ED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D9087"/>
  <w15:chartTrackingRefBased/>
  <w15:docId w15:val="{BB7983CD-8E00-4DA9-9355-1F51AB9D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CB1"/>
    <w:pPr>
      <w:spacing w:line="256" w:lineRule="auto"/>
    </w:pPr>
  </w:style>
  <w:style w:type="paragraph" w:styleId="Heading1">
    <w:name w:val="heading 1"/>
    <w:basedOn w:val="Normal"/>
    <w:next w:val="Normal"/>
    <w:link w:val="Heading1Char"/>
    <w:uiPriority w:val="9"/>
    <w:qFormat/>
    <w:rsid w:val="009B2CB1"/>
    <w:pPr>
      <w:spacing w:after="0"/>
      <w:jc w:val="center"/>
      <w:outlineLvl w:val="0"/>
    </w:pPr>
    <w:rPr>
      <w:rFonts w:ascii="Book Antiqua" w:eastAsia="Times New Roman" w:hAnsi="Book Antiqua" w:cs="Times New Roman"/>
      <w:b/>
      <w:sz w:val="24"/>
      <w:szCs w:val="24"/>
    </w:rPr>
  </w:style>
  <w:style w:type="paragraph" w:styleId="Heading2">
    <w:name w:val="heading 2"/>
    <w:basedOn w:val="Normal"/>
    <w:next w:val="Normal"/>
    <w:link w:val="Heading2Char"/>
    <w:uiPriority w:val="9"/>
    <w:unhideWhenUsed/>
    <w:qFormat/>
    <w:rsid w:val="009B2CB1"/>
    <w:pPr>
      <w:keepNext/>
      <w:spacing w:after="0" w:line="240" w:lineRule="auto"/>
      <w:ind w:left="2880" w:hanging="2880"/>
      <w:outlineLvl w:val="1"/>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CB1"/>
    <w:rPr>
      <w:rFonts w:ascii="Book Antiqua" w:eastAsia="Times New Roman" w:hAnsi="Book Antiqua" w:cs="Times New Roman"/>
      <w:b/>
      <w:sz w:val="24"/>
      <w:szCs w:val="24"/>
    </w:rPr>
  </w:style>
  <w:style w:type="character" w:customStyle="1" w:styleId="Heading2Char">
    <w:name w:val="Heading 2 Char"/>
    <w:basedOn w:val="DefaultParagraphFont"/>
    <w:link w:val="Heading2"/>
    <w:uiPriority w:val="9"/>
    <w:rsid w:val="009B2CB1"/>
    <w:rPr>
      <w:rFonts w:ascii="Book Antiqua" w:hAnsi="Book Antiqua"/>
      <w:b/>
      <w:bCs/>
    </w:rPr>
  </w:style>
  <w:style w:type="paragraph" w:styleId="Header">
    <w:name w:val="header"/>
    <w:basedOn w:val="Normal"/>
    <w:link w:val="HeaderChar"/>
    <w:uiPriority w:val="99"/>
    <w:unhideWhenUsed/>
    <w:rsid w:val="009B2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CB1"/>
  </w:style>
  <w:style w:type="paragraph" w:styleId="Footer">
    <w:name w:val="footer"/>
    <w:basedOn w:val="Normal"/>
    <w:link w:val="FooterChar"/>
    <w:uiPriority w:val="99"/>
    <w:unhideWhenUsed/>
    <w:rsid w:val="009B2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1367</Words>
  <Characters>7793</Characters>
  <Application>Microsoft Office Word</Application>
  <DocSecurity>0</DocSecurity>
  <Lines>64</Lines>
  <Paragraphs>18</Paragraphs>
  <ScaleCrop>false</ScaleCrop>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Holcombe, Andrea</cp:lastModifiedBy>
  <cp:revision>2</cp:revision>
  <dcterms:created xsi:type="dcterms:W3CDTF">2021-07-29T21:21:00Z</dcterms:created>
  <dcterms:modified xsi:type="dcterms:W3CDTF">2021-07-29T21:27:00Z</dcterms:modified>
</cp:coreProperties>
</file>