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3F2" w14:textId="6C912A46" w:rsidR="00C770C2" w:rsidRPr="00B56632" w:rsidRDefault="006810F6" w:rsidP="00B56632">
      <w:pPr>
        <w:pStyle w:val="Heading1"/>
        <w:rPr>
          <w:sz w:val="28"/>
          <w:szCs w:val="28"/>
        </w:rPr>
      </w:pPr>
      <w:r w:rsidRPr="00B56632">
        <w:rPr>
          <w:sz w:val="28"/>
          <w:szCs w:val="28"/>
        </w:rPr>
        <w:t>MINUTES</w:t>
      </w:r>
    </w:p>
    <w:p w14:paraId="3E454307" w14:textId="77777777" w:rsidR="008A1BDA" w:rsidRDefault="008A1BDA" w:rsidP="00D82D91">
      <w:pPr>
        <w:pStyle w:val="NoSpacing"/>
      </w:pPr>
    </w:p>
    <w:p w14:paraId="285A2452" w14:textId="3AFAB02B" w:rsidR="00EE1F07" w:rsidRPr="004B29C7" w:rsidRDefault="00EE1F07" w:rsidP="00D82D91">
      <w:pPr>
        <w:spacing w:after="0" w:line="240" w:lineRule="auto"/>
      </w:pPr>
      <w:r w:rsidRPr="004B29C7">
        <w:rPr>
          <w:b/>
        </w:rPr>
        <w:t xml:space="preserve">Committee </w:t>
      </w:r>
      <w:r w:rsidR="000739AE" w:rsidRPr="004B29C7">
        <w:rPr>
          <w:b/>
        </w:rPr>
        <w:t>Members in Attendance</w:t>
      </w:r>
      <w:r w:rsidRPr="004B29C7">
        <w:rPr>
          <w:b/>
        </w:rPr>
        <w:t xml:space="preserve">: </w:t>
      </w:r>
      <w:r w:rsidRPr="004B29C7">
        <w:t>Chair</w:t>
      </w:r>
      <w:r w:rsidR="000739AE" w:rsidRPr="004B29C7">
        <w:t xml:space="preserve"> Joost,</w:t>
      </w:r>
      <w:r w:rsidRPr="004B29C7">
        <w:t xml:space="preserve"> Trustee Bryan, Trustee Burnett,</w:t>
      </w:r>
    </w:p>
    <w:p w14:paraId="41DC3AD0" w14:textId="77777777" w:rsidR="00EE1F07" w:rsidRPr="004B29C7" w:rsidRDefault="00EE1F07" w:rsidP="00D82D91">
      <w:pPr>
        <w:spacing w:after="0" w:line="240" w:lineRule="auto"/>
      </w:pPr>
      <w:r w:rsidRPr="004B29C7">
        <w:t>Trustee</w:t>
      </w:r>
      <w:r w:rsidR="000739AE" w:rsidRPr="004B29C7">
        <w:t xml:space="preserve"> McElroy, </w:t>
      </w:r>
      <w:r w:rsidRPr="004B29C7">
        <w:t>Trustee</w:t>
      </w:r>
      <w:r w:rsidR="000739AE" w:rsidRPr="004B29C7">
        <w:t xml:space="preserve"> Patel, Ally Schneider, Doug Burnett, Tom Bryan</w:t>
      </w:r>
      <w:r w:rsidRPr="004B29C7">
        <w:t xml:space="preserve">, </w:t>
      </w:r>
    </w:p>
    <w:p w14:paraId="042A8B07" w14:textId="3E2DBA1F" w:rsidR="006810F6" w:rsidRPr="004B29C7" w:rsidRDefault="00EE1F07" w:rsidP="00D82D91">
      <w:pPr>
        <w:spacing w:after="0" w:line="240" w:lineRule="auto"/>
        <w:rPr>
          <w:b/>
        </w:rPr>
      </w:pPr>
      <w:r w:rsidRPr="004B29C7">
        <w:t xml:space="preserve">Chair Kevin Hyde, Ex Officio </w:t>
      </w:r>
    </w:p>
    <w:p w14:paraId="08C2E9D0" w14:textId="77777777" w:rsidR="00D82D91" w:rsidRPr="00D82D91" w:rsidRDefault="000739AE" w:rsidP="00D82D91">
      <w:pPr>
        <w:rPr>
          <w:b/>
        </w:rPr>
      </w:pPr>
      <w:r w:rsidRPr="00D82D91">
        <w:rPr>
          <w:b/>
        </w:rPr>
        <w:tab/>
      </w:r>
    </w:p>
    <w:p w14:paraId="3A9E8496" w14:textId="2F9BD83A" w:rsidR="00C770C2" w:rsidRPr="00D82D91" w:rsidRDefault="00C770C2" w:rsidP="00D82D91">
      <w:pPr>
        <w:pStyle w:val="Heading2"/>
      </w:pPr>
      <w:r w:rsidRPr="00D82D91">
        <w:t xml:space="preserve">Item 1 </w:t>
      </w:r>
      <w:r w:rsidR="004B29C7" w:rsidRPr="00D82D91">
        <w:t xml:space="preserve">– </w:t>
      </w:r>
      <w:r w:rsidRPr="00D82D91">
        <w:t>Call to Order</w:t>
      </w:r>
    </w:p>
    <w:p w14:paraId="6E514E1A" w14:textId="072A6769" w:rsidR="00C770C2" w:rsidRPr="004B29C7" w:rsidRDefault="00C770C2" w:rsidP="004B29C7">
      <w:pPr>
        <w:rPr>
          <w:szCs w:val="24"/>
        </w:rPr>
      </w:pPr>
      <w:r w:rsidRPr="004B29C7">
        <w:rPr>
          <w:szCs w:val="24"/>
        </w:rPr>
        <w:t xml:space="preserve">Chair </w:t>
      </w:r>
      <w:r w:rsidR="00522961" w:rsidRPr="004B29C7">
        <w:rPr>
          <w:szCs w:val="24"/>
        </w:rPr>
        <w:t>Joost</w:t>
      </w:r>
      <w:r w:rsidRPr="004B29C7">
        <w:rPr>
          <w:szCs w:val="24"/>
        </w:rPr>
        <w:t xml:space="preserve"> </w:t>
      </w:r>
      <w:r w:rsidR="006810F6" w:rsidRPr="004B29C7">
        <w:rPr>
          <w:szCs w:val="24"/>
        </w:rPr>
        <w:t xml:space="preserve">recognized a quorum and </w:t>
      </w:r>
      <w:r w:rsidRPr="004B29C7">
        <w:rPr>
          <w:szCs w:val="24"/>
        </w:rPr>
        <w:t>call</w:t>
      </w:r>
      <w:r w:rsidR="006810F6" w:rsidRPr="004B29C7">
        <w:rPr>
          <w:szCs w:val="24"/>
        </w:rPr>
        <w:t xml:space="preserve">ed </w:t>
      </w:r>
      <w:r w:rsidRPr="004B29C7">
        <w:rPr>
          <w:szCs w:val="24"/>
        </w:rPr>
        <w:t>the meeting to order</w:t>
      </w:r>
      <w:r w:rsidR="006810F6" w:rsidRPr="004B29C7">
        <w:rPr>
          <w:szCs w:val="24"/>
        </w:rPr>
        <w:t xml:space="preserve"> at 10:46 a.m.</w:t>
      </w:r>
    </w:p>
    <w:p w14:paraId="5B8F5CC8" w14:textId="08B2F176" w:rsidR="006810F6" w:rsidRPr="004B29C7" w:rsidRDefault="00C770C2" w:rsidP="00D82D91">
      <w:pPr>
        <w:pStyle w:val="Heading2"/>
      </w:pPr>
      <w:r w:rsidRPr="004B29C7">
        <w:t xml:space="preserve">Item </w:t>
      </w:r>
      <w:r w:rsidR="006810F6" w:rsidRPr="004B29C7">
        <w:t xml:space="preserve">2 </w:t>
      </w:r>
      <w:r w:rsidR="004B29C7" w:rsidRPr="005073F9">
        <w:t xml:space="preserve">– </w:t>
      </w:r>
      <w:r w:rsidRPr="004B29C7">
        <w:t xml:space="preserve">Public Comment </w:t>
      </w:r>
    </w:p>
    <w:p w14:paraId="54BFE90C" w14:textId="37BA3F21" w:rsidR="00C770C2" w:rsidRPr="004B29C7" w:rsidRDefault="004B29C7" w:rsidP="00D82D91">
      <w:r>
        <w:t>C</w:t>
      </w:r>
      <w:r w:rsidR="00C770C2" w:rsidRPr="004B29C7">
        <w:t xml:space="preserve">hair </w:t>
      </w:r>
      <w:r w:rsidR="00522961" w:rsidRPr="004B29C7">
        <w:t>Joost</w:t>
      </w:r>
      <w:r w:rsidR="00C770C2" w:rsidRPr="004B29C7">
        <w:t xml:space="preserve"> offer</w:t>
      </w:r>
      <w:r w:rsidR="006810F6" w:rsidRPr="004B29C7">
        <w:t>ed</w:t>
      </w:r>
      <w:r w:rsidR="00C770C2" w:rsidRPr="004B29C7">
        <w:t xml:space="preserve"> those in attendance the opportunity for public comments.</w:t>
      </w:r>
      <w:r w:rsidR="006810F6" w:rsidRPr="004B29C7">
        <w:t xml:space="preserve"> There were no</w:t>
      </w:r>
      <w:r>
        <w:t xml:space="preserve"> requests for </w:t>
      </w:r>
      <w:r w:rsidR="006810F6" w:rsidRPr="004B29C7">
        <w:t>public comments.</w:t>
      </w:r>
    </w:p>
    <w:p w14:paraId="2EBD5E2E" w14:textId="76FF10C6" w:rsidR="00C770C2" w:rsidRPr="0096438C" w:rsidRDefault="00C770C2" w:rsidP="00B56632">
      <w:pPr>
        <w:pStyle w:val="Heading2"/>
        <w:rPr>
          <w:szCs w:val="24"/>
        </w:rPr>
      </w:pPr>
      <w:r w:rsidRPr="0096438C">
        <w:rPr>
          <w:szCs w:val="24"/>
        </w:rPr>
        <w:t>Item 3</w:t>
      </w:r>
      <w:r w:rsidR="006810F6" w:rsidRPr="0096438C">
        <w:rPr>
          <w:szCs w:val="24"/>
        </w:rPr>
        <w:t xml:space="preserve"> </w:t>
      </w:r>
      <w:r w:rsidR="0096438C" w:rsidRPr="005073F9">
        <w:t>–</w:t>
      </w:r>
      <w:r w:rsidR="0096438C">
        <w:t xml:space="preserve"> </w:t>
      </w:r>
      <w:r w:rsidRPr="0096438C">
        <w:rPr>
          <w:szCs w:val="24"/>
        </w:rPr>
        <w:t>Consent Agenda</w:t>
      </w:r>
      <w:r w:rsidRPr="0096438C">
        <w:rPr>
          <w:szCs w:val="24"/>
        </w:rPr>
        <w:tab/>
      </w:r>
      <w:r w:rsidRPr="0096438C">
        <w:rPr>
          <w:szCs w:val="24"/>
        </w:rPr>
        <w:tab/>
        <w:t xml:space="preserve">                    </w:t>
      </w:r>
    </w:p>
    <w:p w14:paraId="7990344E" w14:textId="77777777" w:rsidR="00D82D91" w:rsidRDefault="00D82D91" w:rsidP="00D82D91">
      <w:pPr>
        <w:pStyle w:val="NoSpacing"/>
      </w:pPr>
    </w:p>
    <w:p w14:paraId="01D34FB1" w14:textId="32336AAD" w:rsidR="00C770C2" w:rsidRPr="00D229EC" w:rsidRDefault="00C770C2" w:rsidP="00D229EC">
      <w:pPr>
        <w:pStyle w:val="ListParagraph"/>
        <w:rPr>
          <w:rFonts w:ascii="Book Antiqua" w:hAnsi="Book Antiqua"/>
          <w:szCs w:val="24"/>
        </w:rPr>
      </w:pPr>
      <w:r w:rsidRPr="00D229EC">
        <w:rPr>
          <w:rFonts w:ascii="Book Antiqua" w:hAnsi="Book Antiqua"/>
          <w:szCs w:val="24"/>
        </w:rPr>
        <w:t xml:space="preserve">Draft June 16 </w:t>
      </w:r>
      <w:r w:rsidR="000952EA" w:rsidRPr="00D229EC">
        <w:rPr>
          <w:rFonts w:ascii="Book Antiqua" w:hAnsi="Book Antiqua"/>
          <w:szCs w:val="24"/>
        </w:rPr>
        <w:t>Finance and Facilities</w:t>
      </w:r>
      <w:r w:rsidRPr="00D229EC">
        <w:rPr>
          <w:rFonts w:ascii="Book Antiqua" w:hAnsi="Book Antiqua"/>
          <w:szCs w:val="24"/>
        </w:rPr>
        <w:t xml:space="preserve"> Committee Meeting Minutes</w:t>
      </w:r>
    </w:p>
    <w:p w14:paraId="42E53ACD" w14:textId="43F6E3A5" w:rsidR="000739AE" w:rsidRPr="00D229EC" w:rsidRDefault="000739AE" w:rsidP="00D229EC">
      <w:pPr>
        <w:pStyle w:val="ListParagraph"/>
        <w:rPr>
          <w:rFonts w:ascii="Book Antiqua" w:hAnsi="Book Antiqua"/>
          <w:szCs w:val="24"/>
        </w:rPr>
      </w:pPr>
      <w:r w:rsidRPr="00D229EC">
        <w:rPr>
          <w:rFonts w:ascii="Book Antiqua" w:hAnsi="Book Antiqua"/>
          <w:szCs w:val="24"/>
        </w:rPr>
        <w:t>Capital Projects Report and Change Orders</w:t>
      </w:r>
    </w:p>
    <w:p w14:paraId="71880CA7" w14:textId="71FBD900" w:rsidR="000739AE" w:rsidRPr="00D229EC" w:rsidRDefault="000739AE" w:rsidP="00D229EC">
      <w:pPr>
        <w:pStyle w:val="ListParagraph"/>
        <w:rPr>
          <w:rFonts w:ascii="Book Antiqua" w:hAnsi="Book Antiqua"/>
          <w:szCs w:val="24"/>
        </w:rPr>
      </w:pPr>
      <w:r w:rsidRPr="00D229EC">
        <w:rPr>
          <w:rFonts w:ascii="Book Antiqua" w:hAnsi="Book Antiqua"/>
          <w:szCs w:val="24"/>
        </w:rPr>
        <w:t>Treasurer’s Report</w:t>
      </w:r>
    </w:p>
    <w:p w14:paraId="2DCB8C92" w14:textId="52DA1114" w:rsidR="00C770C2" w:rsidRPr="00D229EC" w:rsidRDefault="00295104" w:rsidP="00D229EC">
      <w:pPr>
        <w:pStyle w:val="ListParagraph"/>
        <w:rPr>
          <w:rFonts w:ascii="Book Antiqua" w:hAnsi="Book Antiqua"/>
          <w:szCs w:val="24"/>
        </w:rPr>
      </w:pPr>
      <w:r w:rsidRPr="00D229EC">
        <w:rPr>
          <w:rFonts w:ascii="Book Antiqua" w:hAnsi="Book Antiqua"/>
          <w:szCs w:val="24"/>
        </w:rPr>
        <w:t>Quarterly Budget Report</w:t>
      </w:r>
    </w:p>
    <w:p w14:paraId="31A5CC57" w14:textId="77777777" w:rsidR="007E64CD" w:rsidRPr="00B56632" w:rsidRDefault="007E64CD" w:rsidP="00C770C2">
      <w:pPr>
        <w:spacing w:after="0"/>
      </w:pPr>
    </w:p>
    <w:p w14:paraId="37EB15D4" w14:textId="28DB0FEF" w:rsidR="00932A37" w:rsidRPr="00D82D91" w:rsidRDefault="006810F6" w:rsidP="00D82D91">
      <w:pPr>
        <w:spacing w:after="0"/>
        <w:rPr>
          <w:szCs w:val="24"/>
        </w:rPr>
      </w:pPr>
      <w:r w:rsidRPr="00021A2D">
        <w:rPr>
          <w:szCs w:val="24"/>
        </w:rPr>
        <w:t>With no changes note</w:t>
      </w:r>
      <w:r w:rsidR="00021A2D">
        <w:rPr>
          <w:szCs w:val="24"/>
        </w:rPr>
        <w:t>d,</w:t>
      </w:r>
      <w:r w:rsidRPr="00021A2D">
        <w:rPr>
          <w:szCs w:val="24"/>
        </w:rPr>
        <w:t xml:space="preserve"> the Finance and Facilities Committee approved all items on the consent agenda.</w:t>
      </w:r>
      <w:r w:rsidR="00C770C2" w:rsidRPr="00021A2D">
        <w:rPr>
          <w:szCs w:val="24"/>
        </w:rPr>
        <w:tab/>
      </w:r>
      <w:r w:rsidR="00C770C2" w:rsidRPr="00021A2D">
        <w:rPr>
          <w:szCs w:val="24"/>
        </w:rPr>
        <w:tab/>
      </w:r>
      <w:r w:rsidR="00C770C2" w:rsidRPr="00021A2D">
        <w:rPr>
          <w:szCs w:val="24"/>
        </w:rPr>
        <w:tab/>
        <w:t xml:space="preserve">     </w:t>
      </w:r>
    </w:p>
    <w:p w14:paraId="2EB88DE5" w14:textId="39922D92" w:rsidR="00FD0E79" w:rsidRPr="00021A2D" w:rsidRDefault="00C770C2" w:rsidP="00B56632">
      <w:pPr>
        <w:pStyle w:val="Heading2"/>
        <w:rPr>
          <w:szCs w:val="24"/>
        </w:rPr>
      </w:pPr>
      <w:r w:rsidRPr="00021A2D">
        <w:rPr>
          <w:szCs w:val="24"/>
        </w:rPr>
        <w:t>Item 4</w:t>
      </w:r>
      <w:r w:rsidR="006810F6" w:rsidRPr="00021A2D">
        <w:rPr>
          <w:szCs w:val="24"/>
        </w:rPr>
        <w:t xml:space="preserve"> </w:t>
      </w:r>
      <w:bookmarkStart w:id="0" w:name="_Hlk53471701"/>
      <w:proofErr w:type="gramStart"/>
      <w:r w:rsidR="00B00844" w:rsidRPr="005073F9">
        <w:t>–</w:t>
      </w:r>
      <w:r w:rsidR="00B00844">
        <w:t xml:space="preserve">  </w:t>
      </w:r>
      <w:r w:rsidR="00FD0E79" w:rsidRPr="00021A2D">
        <w:rPr>
          <w:szCs w:val="24"/>
        </w:rPr>
        <w:t>Guana</w:t>
      </w:r>
      <w:proofErr w:type="gramEnd"/>
      <w:r w:rsidR="00FD0E79" w:rsidRPr="00021A2D">
        <w:rPr>
          <w:szCs w:val="24"/>
        </w:rPr>
        <w:t xml:space="preserve"> Tolomato Matanzas National Estuarine Research Reserve (GTM-NERR)</w:t>
      </w:r>
      <w:r w:rsidR="00021A2D">
        <w:rPr>
          <w:szCs w:val="24"/>
        </w:rPr>
        <w:t xml:space="preserve"> </w:t>
      </w:r>
      <w:r w:rsidR="00FD0E79" w:rsidRPr="00021A2D">
        <w:rPr>
          <w:szCs w:val="24"/>
        </w:rPr>
        <w:t>Sublease</w:t>
      </w:r>
    </w:p>
    <w:bookmarkEnd w:id="0"/>
    <w:p w14:paraId="2CD60F07" w14:textId="77777777" w:rsidR="00021A2D" w:rsidRDefault="00021A2D" w:rsidP="00021A2D">
      <w:pPr>
        <w:spacing w:after="0" w:line="240" w:lineRule="auto"/>
      </w:pPr>
    </w:p>
    <w:p w14:paraId="4EBBA157" w14:textId="77777777" w:rsidR="002D5ED5" w:rsidRDefault="002956E9" w:rsidP="002D5ED5">
      <w:pPr>
        <w:spacing w:after="0" w:line="240" w:lineRule="auto"/>
        <w:rPr>
          <w:szCs w:val="24"/>
        </w:rPr>
      </w:pPr>
      <w:r w:rsidRPr="00021A2D">
        <w:rPr>
          <w:szCs w:val="24"/>
        </w:rPr>
        <w:t xml:space="preserve">Mr. Chris Wrenn, Sr. Associate General Counsel, presented the proposed sublease, from </w:t>
      </w:r>
      <w:r w:rsidR="00021A2D">
        <w:rPr>
          <w:szCs w:val="24"/>
        </w:rPr>
        <w:t xml:space="preserve">the </w:t>
      </w:r>
      <w:r w:rsidRPr="00021A2D">
        <w:rPr>
          <w:szCs w:val="24"/>
        </w:rPr>
        <w:t>Florida</w:t>
      </w:r>
      <w:r w:rsidR="00021A2D">
        <w:rPr>
          <w:szCs w:val="24"/>
        </w:rPr>
        <w:t xml:space="preserve"> </w:t>
      </w:r>
      <w:r w:rsidRPr="00021A2D">
        <w:rPr>
          <w:szCs w:val="24"/>
        </w:rPr>
        <w:t>Department of Environmental Protection (DEP), of a parcel of land in the Guana Tolomato</w:t>
      </w:r>
      <w:r w:rsidR="00021A2D">
        <w:rPr>
          <w:szCs w:val="24"/>
        </w:rPr>
        <w:t xml:space="preserve"> </w:t>
      </w:r>
      <w:r w:rsidRPr="00021A2D">
        <w:rPr>
          <w:szCs w:val="24"/>
        </w:rPr>
        <w:t>Matanzas National Estuarine Research Reserve (GTM-NERR) for the committee’s</w:t>
      </w:r>
      <w:r w:rsidR="00021A2D">
        <w:rPr>
          <w:szCs w:val="24"/>
        </w:rPr>
        <w:t xml:space="preserve"> </w:t>
      </w:r>
      <w:r w:rsidRPr="00021A2D">
        <w:rPr>
          <w:szCs w:val="24"/>
        </w:rPr>
        <w:t>consideration.  The 18</w:t>
      </w:r>
      <w:r w:rsidR="008004A6" w:rsidRPr="00021A2D">
        <w:rPr>
          <w:szCs w:val="24"/>
        </w:rPr>
        <w:t>-</w:t>
      </w:r>
      <w:r w:rsidRPr="00021A2D">
        <w:rPr>
          <w:szCs w:val="24"/>
        </w:rPr>
        <w:t>year sublease is for a 5.9-acre parcel of raw land located between the</w:t>
      </w:r>
      <w:r w:rsidR="002D5ED5">
        <w:rPr>
          <w:szCs w:val="24"/>
        </w:rPr>
        <w:t xml:space="preserve"> </w:t>
      </w:r>
      <w:r w:rsidRPr="00021A2D">
        <w:rPr>
          <w:szCs w:val="24"/>
        </w:rPr>
        <w:t>Guana River and the coastline.  Students and faculty are currentl</w:t>
      </w:r>
      <w:r w:rsidR="002D5ED5">
        <w:rPr>
          <w:szCs w:val="24"/>
        </w:rPr>
        <w:t xml:space="preserve">y </w:t>
      </w:r>
      <w:r w:rsidRPr="00021A2D">
        <w:rPr>
          <w:szCs w:val="24"/>
        </w:rPr>
        <w:t>utilizing, on an inform</w:t>
      </w:r>
      <w:r w:rsidR="002D5ED5">
        <w:rPr>
          <w:szCs w:val="24"/>
        </w:rPr>
        <w:t xml:space="preserve">al </w:t>
      </w:r>
      <w:r w:rsidRPr="00021A2D">
        <w:rPr>
          <w:szCs w:val="24"/>
        </w:rPr>
        <w:t xml:space="preserve">basis, the </w:t>
      </w:r>
      <w:r w:rsidR="00F46F08" w:rsidRPr="00021A2D">
        <w:rPr>
          <w:szCs w:val="24"/>
        </w:rPr>
        <w:t>GTM-NERR</w:t>
      </w:r>
      <w:r w:rsidRPr="00021A2D">
        <w:rPr>
          <w:szCs w:val="24"/>
        </w:rPr>
        <w:t xml:space="preserve">’s visitor’s center, classrooms, </w:t>
      </w:r>
    </w:p>
    <w:p w14:paraId="15931947" w14:textId="0F2963AB" w:rsidR="002956E9" w:rsidRPr="002D5ED5" w:rsidRDefault="002956E9" w:rsidP="002D5ED5">
      <w:pPr>
        <w:spacing w:after="0" w:line="240" w:lineRule="auto"/>
        <w:rPr>
          <w:szCs w:val="24"/>
        </w:rPr>
      </w:pPr>
      <w:r w:rsidRPr="002D5ED5">
        <w:rPr>
          <w:szCs w:val="24"/>
        </w:rPr>
        <w:lastRenderedPageBreak/>
        <w:t>auditorium, and parking areas, all on an</w:t>
      </w:r>
      <w:r w:rsidR="002D5ED5" w:rsidRPr="002D5ED5">
        <w:rPr>
          <w:szCs w:val="24"/>
        </w:rPr>
        <w:t xml:space="preserve"> </w:t>
      </w:r>
      <w:r w:rsidRPr="002D5ED5">
        <w:rPr>
          <w:szCs w:val="24"/>
        </w:rPr>
        <w:t>adjoining parcel, for research and instruction.  One University faculty member and several</w:t>
      </w:r>
      <w:r w:rsidR="002D5ED5" w:rsidRPr="002D5ED5">
        <w:rPr>
          <w:szCs w:val="24"/>
        </w:rPr>
        <w:t xml:space="preserve"> </w:t>
      </w:r>
      <w:r w:rsidRPr="002D5ED5">
        <w:rPr>
          <w:szCs w:val="24"/>
        </w:rPr>
        <w:t>contract employees are providing research and training at the GTM-NERR center.  The sublease</w:t>
      </w:r>
      <w:r w:rsidR="002D5ED5" w:rsidRPr="002D5ED5">
        <w:rPr>
          <w:szCs w:val="24"/>
        </w:rPr>
        <w:t xml:space="preserve"> </w:t>
      </w:r>
      <w:r w:rsidRPr="002D5ED5">
        <w:rPr>
          <w:szCs w:val="24"/>
        </w:rPr>
        <w:t xml:space="preserve">would formalize the students’ and faculty’s right to use the </w:t>
      </w:r>
      <w:r w:rsidR="00F46F08" w:rsidRPr="002D5ED5">
        <w:rPr>
          <w:szCs w:val="24"/>
        </w:rPr>
        <w:t>GTM-NERR</w:t>
      </w:r>
      <w:r w:rsidRPr="002D5ED5">
        <w:rPr>
          <w:szCs w:val="24"/>
        </w:rPr>
        <w:t>’s existing facilities and</w:t>
      </w:r>
      <w:r w:rsidR="002D5ED5" w:rsidRPr="002D5ED5">
        <w:rPr>
          <w:szCs w:val="24"/>
        </w:rPr>
        <w:t xml:space="preserve"> </w:t>
      </w:r>
      <w:r w:rsidRPr="002D5ED5">
        <w:rPr>
          <w:szCs w:val="24"/>
        </w:rPr>
        <w:t>provide to the University the opportunity, but not the obligation, to construct a marine</w:t>
      </w:r>
    </w:p>
    <w:p w14:paraId="40B47214" w14:textId="5FE63069" w:rsidR="002956E9" w:rsidRPr="002D5ED5" w:rsidRDefault="002956E9" w:rsidP="00EB4DB9">
      <w:pPr>
        <w:spacing w:after="0" w:line="240" w:lineRule="auto"/>
        <w:rPr>
          <w:szCs w:val="24"/>
        </w:rPr>
      </w:pPr>
      <w:r w:rsidRPr="002D5ED5">
        <w:rPr>
          <w:szCs w:val="24"/>
        </w:rPr>
        <w:t>research center on the 5.9 acre parcel.  The sublease requires the DEP to use its best efforts to</w:t>
      </w:r>
      <w:r w:rsidR="00A678F2">
        <w:rPr>
          <w:szCs w:val="24"/>
        </w:rPr>
        <w:t xml:space="preserve"> </w:t>
      </w:r>
      <w:r w:rsidRPr="002D5ED5">
        <w:rPr>
          <w:szCs w:val="24"/>
        </w:rPr>
        <w:t>obtain an extension of the sublease term to 40 years when the University is prepared to build</w:t>
      </w:r>
      <w:r w:rsidR="00A678F2">
        <w:rPr>
          <w:szCs w:val="24"/>
        </w:rPr>
        <w:t xml:space="preserve"> </w:t>
      </w:r>
      <w:r w:rsidRPr="002D5ED5">
        <w:rPr>
          <w:szCs w:val="24"/>
        </w:rPr>
        <w:t>the marine research facility in order to permit full amortization of the cost of construction,</w:t>
      </w:r>
      <w:r w:rsidR="00FF06A5">
        <w:rPr>
          <w:szCs w:val="24"/>
        </w:rPr>
        <w:t xml:space="preserve"> </w:t>
      </w:r>
      <w:r w:rsidRPr="002D5ED5">
        <w:rPr>
          <w:szCs w:val="24"/>
        </w:rPr>
        <w:t>which is required by statute.  There is no rent associated with the lease, but the University must</w:t>
      </w:r>
      <w:r w:rsidR="00FF06A5">
        <w:rPr>
          <w:szCs w:val="24"/>
        </w:rPr>
        <w:t xml:space="preserve"> </w:t>
      </w:r>
      <w:r w:rsidRPr="002D5ED5">
        <w:rPr>
          <w:szCs w:val="24"/>
        </w:rPr>
        <w:t>maintain the parcel, including all required public signage.   The parcel is currently unimproved</w:t>
      </w:r>
      <w:r w:rsidR="00FF06A5">
        <w:rPr>
          <w:szCs w:val="24"/>
        </w:rPr>
        <w:t xml:space="preserve"> </w:t>
      </w:r>
      <w:r w:rsidRPr="002D5ED5">
        <w:rPr>
          <w:szCs w:val="24"/>
        </w:rPr>
        <w:t>and covered by dense foliage, so maintenance costs are expected to be insubstantial.</w:t>
      </w:r>
      <w:r w:rsidR="00FF06A5">
        <w:rPr>
          <w:szCs w:val="24"/>
        </w:rPr>
        <w:t xml:space="preserve"> </w:t>
      </w:r>
      <w:r w:rsidRPr="002D5ED5">
        <w:rPr>
          <w:szCs w:val="24"/>
        </w:rPr>
        <w:t>Preliminary due diligence has been completed, including boundary survey, preliminary title,</w:t>
      </w:r>
      <w:r w:rsidR="00FF06A5">
        <w:rPr>
          <w:szCs w:val="24"/>
        </w:rPr>
        <w:t xml:space="preserve"> </w:t>
      </w:r>
      <w:r w:rsidRPr="002D5ED5">
        <w:rPr>
          <w:szCs w:val="24"/>
        </w:rPr>
        <w:t>and zoning.  A Phase I environmental audit is in progress.  The University will not execute the</w:t>
      </w:r>
      <w:r w:rsidR="00EB4DB9">
        <w:rPr>
          <w:szCs w:val="24"/>
        </w:rPr>
        <w:t xml:space="preserve"> </w:t>
      </w:r>
      <w:r w:rsidRPr="002D5ED5">
        <w:rPr>
          <w:szCs w:val="24"/>
        </w:rPr>
        <w:t>sublease until completion of satisfactory due diligence.  Associate Vice President John Kantner</w:t>
      </w:r>
    </w:p>
    <w:p w14:paraId="7FBCB121" w14:textId="77777777" w:rsidR="008D6567" w:rsidRDefault="002956E9" w:rsidP="00EB4DB9">
      <w:pPr>
        <w:spacing w:after="0" w:line="240" w:lineRule="auto"/>
        <w:rPr>
          <w:szCs w:val="24"/>
        </w:rPr>
      </w:pPr>
      <w:r w:rsidRPr="002D5ED5">
        <w:rPr>
          <w:szCs w:val="24"/>
        </w:rPr>
        <w:t>shared that the state receives a federal grant every year, the proceeds of which are used to fund</w:t>
      </w:r>
      <w:r w:rsidR="00EB4DB9">
        <w:rPr>
          <w:szCs w:val="24"/>
        </w:rPr>
        <w:t xml:space="preserve"> </w:t>
      </w:r>
      <w:r w:rsidRPr="002D5ED5">
        <w:rPr>
          <w:szCs w:val="24"/>
        </w:rPr>
        <w:t xml:space="preserve">the cost of dedicating University contract staff to the </w:t>
      </w:r>
      <w:r w:rsidR="00F46F08" w:rsidRPr="002D5ED5">
        <w:rPr>
          <w:szCs w:val="24"/>
        </w:rPr>
        <w:t>GTM-NERR</w:t>
      </w:r>
      <w:r w:rsidRPr="002D5ED5">
        <w:rPr>
          <w:szCs w:val="24"/>
        </w:rPr>
        <w:t>’s facilities and such staffing is</w:t>
      </w:r>
      <w:r w:rsidR="00EB4DB9">
        <w:rPr>
          <w:szCs w:val="24"/>
        </w:rPr>
        <w:t xml:space="preserve"> </w:t>
      </w:r>
      <w:r w:rsidRPr="002D5ED5">
        <w:rPr>
          <w:szCs w:val="24"/>
        </w:rPr>
        <w:t>a</w:t>
      </w:r>
      <w:r w:rsidR="00F46F08" w:rsidRPr="002D5ED5">
        <w:rPr>
          <w:szCs w:val="24"/>
        </w:rPr>
        <w:t xml:space="preserve"> </w:t>
      </w:r>
      <w:r w:rsidRPr="002D5ED5">
        <w:rPr>
          <w:szCs w:val="24"/>
        </w:rPr>
        <w:t>requirement of the sublease.  However, the University’s obligation under the sublease to</w:t>
      </w:r>
      <w:r w:rsidR="00EB4DB9">
        <w:rPr>
          <w:szCs w:val="24"/>
        </w:rPr>
        <w:t xml:space="preserve"> </w:t>
      </w:r>
      <w:r w:rsidRPr="002D5ED5">
        <w:rPr>
          <w:szCs w:val="24"/>
        </w:rPr>
        <w:t>provide funding is subject to receipt of the grant.  Coastal Biology and Coastal Engineering are</w:t>
      </w:r>
      <w:r w:rsidR="00EB4DB9">
        <w:rPr>
          <w:szCs w:val="24"/>
        </w:rPr>
        <w:t xml:space="preserve"> </w:t>
      </w:r>
      <w:r w:rsidRPr="002D5ED5">
        <w:rPr>
          <w:szCs w:val="24"/>
        </w:rPr>
        <w:t xml:space="preserve">groups that would benefit from the sublease by including </w:t>
      </w:r>
    </w:p>
    <w:p w14:paraId="7B7E7844" w14:textId="7FB113A0" w:rsidR="002956E9" w:rsidRPr="002D5ED5" w:rsidRDefault="002956E9" w:rsidP="00EB4DB9">
      <w:pPr>
        <w:spacing w:after="0" w:line="240" w:lineRule="auto"/>
        <w:rPr>
          <w:szCs w:val="24"/>
        </w:rPr>
      </w:pPr>
      <w:r w:rsidRPr="002D5ED5">
        <w:rPr>
          <w:szCs w:val="24"/>
        </w:rPr>
        <w:t>more students, more faculty</w:t>
      </w:r>
      <w:r w:rsidR="00EB4DB9">
        <w:rPr>
          <w:szCs w:val="24"/>
        </w:rPr>
        <w:t xml:space="preserve"> </w:t>
      </w:r>
      <w:r w:rsidRPr="002D5ED5">
        <w:rPr>
          <w:szCs w:val="24"/>
        </w:rPr>
        <w:t>performing collaborative research.  Trustee McElroy recommended having seal level rise and</w:t>
      </w:r>
      <w:r w:rsidR="00EB4DB9">
        <w:rPr>
          <w:szCs w:val="24"/>
        </w:rPr>
        <w:t xml:space="preserve"> </w:t>
      </w:r>
      <w:r w:rsidRPr="002D5ED5">
        <w:rPr>
          <w:szCs w:val="24"/>
        </w:rPr>
        <w:t>elevation evaluated for longer term planning.</w:t>
      </w:r>
    </w:p>
    <w:p w14:paraId="3DD8D3D8" w14:textId="77777777" w:rsidR="002956E9" w:rsidRPr="002D5ED5" w:rsidRDefault="002956E9" w:rsidP="002956E9">
      <w:pPr>
        <w:spacing w:after="0" w:line="240" w:lineRule="auto"/>
        <w:ind w:left="2430" w:hanging="2430"/>
        <w:rPr>
          <w:szCs w:val="24"/>
        </w:rPr>
      </w:pPr>
      <w:r w:rsidRPr="002D5ED5">
        <w:rPr>
          <w:szCs w:val="24"/>
        </w:rPr>
        <w:t> </w:t>
      </w:r>
    </w:p>
    <w:p w14:paraId="2F628FA1" w14:textId="6147D9BD" w:rsidR="002956E9" w:rsidRPr="00EB4DB9" w:rsidRDefault="002956E9" w:rsidP="00EB4DB9">
      <w:pPr>
        <w:spacing w:after="0" w:line="240" w:lineRule="auto"/>
        <w:rPr>
          <w:szCs w:val="24"/>
        </w:rPr>
      </w:pPr>
      <w:r w:rsidRPr="00EB4DB9">
        <w:rPr>
          <w:szCs w:val="24"/>
        </w:rPr>
        <w:t>Trustee Schneider made a MOTION to approve the sublease for the Guana Tolomato Matanzas</w:t>
      </w:r>
      <w:r w:rsidR="00EB4DB9">
        <w:rPr>
          <w:szCs w:val="24"/>
        </w:rPr>
        <w:t xml:space="preserve"> </w:t>
      </w:r>
      <w:r w:rsidRPr="00EB4DB9">
        <w:rPr>
          <w:szCs w:val="24"/>
        </w:rPr>
        <w:t>National Estuarine Research Reserve (GTM-NERR).  Trustee Burnett SECONDED the motion.</w:t>
      </w:r>
      <w:r w:rsidR="00EB4DB9">
        <w:rPr>
          <w:szCs w:val="24"/>
        </w:rPr>
        <w:t xml:space="preserve"> </w:t>
      </w:r>
      <w:r w:rsidRPr="00EB4DB9">
        <w:rPr>
          <w:szCs w:val="24"/>
        </w:rPr>
        <w:t>The motion was APPROVED by the committee.</w:t>
      </w:r>
    </w:p>
    <w:p w14:paraId="421443EA" w14:textId="1E7E3184" w:rsidR="00470939" w:rsidRPr="00B56632" w:rsidRDefault="00470939" w:rsidP="00693741">
      <w:pPr>
        <w:spacing w:after="0" w:line="240" w:lineRule="auto"/>
        <w:ind w:left="2430" w:hanging="2430"/>
      </w:pPr>
    </w:p>
    <w:p w14:paraId="77D59496" w14:textId="3236F71D" w:rsidR="00B56632" w:rsidRPr="00B00844" w:rsidRDefault="00D11204" w:rsidP="00B56632">
      <w:pPr>
        <w:pStyle w:val="Heading2"/>
        <w:rPr>
          <w:szCs w:val="24"/>
        </w:rPr>
      </w:pPr>
      <w:r w:rsidRPr="00B00844">
        <w:rPr>
          <w:szCs w:val="24"/>
        </w:rPr>
        <w:t>I</w:t>
      </w:r>
      <w:r w:rsidR="00A76D17" w:rsidRPr="00B00844">
        <w:rPr>
          <w:szCs w:val="24"/>
        </w:rPr>
        <w:t xml:space="preserve">tem </w:t>
      </w:r>
      <w:r w:rsidR="00B00844" w:rsidRPr="00B00844">
        <w:rPr>
          <w:szCs w:val="24"/>
        </w:rPr>
        <w:t xml:space="preserve">– </w:t>
      </w:r>
      <w:r w:rsidR="000739AE" w:rsidRPr="00B00844">
        <w:rPr>
          <w:szCs w:val="24"/>
        </w:rPr>
        <w:t xml:space="preserve">5 </w:t>
      </w:r>
      <w:r w:rsidR="006810F6" w:rsidRPr="00B00844">
        <w:rPr>
          <w:szCs w:val="24"/>
        </w:rPr>
        <w:t>Accounts Receivable and Write</w:t>
      </w:r>
      <w:r w:rsidR="00B00844">
        <w:rPr>
          <w:szCs w:val="24"/>
        </w:rPr>
        <w:t>-o</w:t>
      </w:r>
      <w:r w:rsidR="006810F6" w:rsidRPr="00B00844">
        <w:rPr>
          <w:szCs w:val="24"/>
        </w:rPr>
        <w:t>ffs Report</w:t>
      </w:r>
    </w:p>
    <w:p w14:paraId="04B5D41B" w14:textId="318FE1C8" w:rsidR="000739AE" w:rsidRPr="00B56632" w:rsidRDefault="00A76D17" w:rsidP="00D82D91">
      <w:pPr>
        <w:pStyle w:val="NoSpacing"/>
      </w:pPr>
      <w:r w:rsidRPr="00B56632">
        <w:tab/>
      </w:r>
    </w:p>
    <w:p w14:paraId="2465D773" w14:textId="53ED11B4" w:rsidR="007968A3" w:rsidRPr="00B00844" w:rsidRDefault="000739AE" w:rsidP="00B00844">
      <w:pPr>
        <w:spacing w:after="0"/>
        <w:rPr>
          <w:bCs/>
          <w:szCs w:val="24"/>
        </w:rPr>
      </w:pPr>
      <w:r w:rsidRPr="00B00844">
        <w:rPr>
          <w:bCs/>
          <w:szCs w:val="24"/>
        </w:rPr>
        <w:t>Interim Vice President Bennett presented the</w:t>
      </w:r>
      <w:r w:rsidR="007968A3" w:rsidRPr="00B00844">
        <w:rPr>
          <w:szCs w:val="24"/>
        </w:rPr>
        <w:t xml:space="preserve"> </w:t>
      </w:r>
      <w:r w:rsidR="007968A3" w:rsidRPr="00B00844">
        <w:rPr>
          <w:bCs/>
          <w:szCs w:val="24"/>
        </w:rPr>
        <w:t>Accounts Receivable and Write</w:t>
      </w:r>
      <w:r w:rsidR="00B00844">
        <w:rPr>
          <w:bCs/>
          <w:szCs w:val="24"/>
        </w:rPr>
        <w:t>-o</w:t>
      </w:r>
      <w:r w:rsidR="007968A3" w:rsidRPr="00B00844">
        <w:rPr>
          <w:bCs/>
          <w:szCs w:val="24"/>
        </w:rPr>
        <w:t>ffs</w:t>
      </w:r>
      <w:r w:rsidR="00B00844">
        <w:rPr>
          <w:bCs/>
          <w:szCs w:val="24"/>
        </w:rPr>
        <w:t xml:space="preserve"> </w:t>
      </w:r>
      <w:r w:rsidR="007968A3" w:rsidRPr="00B00844">
        <w:rPr>
          <w:bCs/>
          <w:szCs w:val="24"/>
        </w:rPr>
        <w:t>Report.</w:t>
      </w:r>
      <w:r w:rsidR="00D229EC">
        <w:rPr>
          <w:bCs/>
          <w:szCs w:val="24"/>
        </w:rPr>
        <w:t xml:space="preserve"> </w:t>
      </w:r>
      <w:r w:rsidR="00D229EC" w:rsidRPr="00B00844">
        <w:rPr>
          <w:bCs/>
          <w:szCs w:val="24"/>
        </w:rPr>
        <w:t>Florida Statutes authorize the university’s Board of Trustees</w:t>
      </w:r>
      <w:r w:rsidR="008A07DF">
        <w:rPr>
          <w:bCs/>
          <w:szCs w:val="24"/>
        </w:rPr>
        <w:t xml:space="preserve"> </w:t>
      </w:r>
      <w:r w:rsidR="008A07DF" w:rsidRPr="00B00844">
        <w:rPr>
          <w:bCs/>
          <w:szCs w:val="24"/>
        </w:rPr>
        <w:t>to charge off or</w:t>
      </w:r>
    </w:p>
    <w:p w14:paraId="67272FC5" w14:textId="3BA00767" w:rsidR="000739AE" w:rsidRPr="00B00844" w:rsidRDefault="000739AE" w:rsidP="00B00844">
      <w:pPr>
        <w:spacing w:after="0"/>
        <w:rPr>
          <w:bCs/>
          <w:szCs w:val="24"/>
        </w:rPr>
      </w:pPr>
      <w:r w:rsidRPr="00B00844">
        <w:rPr>
          <w:bCs/>
          <w:szCs w:val="24"/>
        </w:rPr>
        <w:lastRenderedPageBreak/>
        <w:t>settle uncollectible</w:t>
      </w:r>
      <w:r w:rsidR="00B00844" w:rsidRPr="00B00844">
        <w:rPr>
          <w:bCs/>
          <w:szCs w:val="24"/>
        </w:rPr>
        <w:t xml:space="preserve"> </w:t>
      </w:r>
      <w:r w:rsidRPr="00B00844">
        <w:rPr>
          <w:bCs/>
          <w:szCs w:val="24"/>
        </w:rPr>
        <w:t>accounts. The Board delegated the authority for accounts receivable write-offs under $10,000 to</w:t>
      </w:r>
      <w:r w:rsidR="00B00844" w:rsidRPr="00B00844">
        <w:rPr>
          <w:bCs/>
          <w:szCs w:val="24"/>
        </w:rPr>
        <w:t xml:space="preserve"> </w:t>
      </w:r>
      <w:r w:rsidRPr="00B00844">
        <w:rPr>
          <w:bCs/>
          <w:szCs w:val="24"/>
        </w:rPr>
        <w:t>the President of the university. As part of this delegation, the President will report annually the</w:t>
      </w:r>
      <w:r w:rsidR="00B00844" w:rsidRPr="00B00844">
        <w:rPr>
          <w:bCs/>
          <w:szCs w:val="24"/>
        </w:rPr>
        <w:t xml:space="preserve"> </w:t>
      </w:r>
      <w:r w:rsidRPr="00B00844">
        <w:rPr>
          <w:bCs/>
          <w:szCs w:val="24"/>
        </w:rPr>
        <w:t>status of accounts receivable charge-offs to the Board.</w:t>
      </w:r>
      <w:r w:rsidR="007968A3" w:rsidRPr="00B00844">
        <w:rPr>
          <w:bCs/>
          <w:szCs w:val="24"/>
        </w:rPr>
        <w:t xml:space="preserve">  Vice President Bennett noted that the</w:t>
      </w:r>
      <w:r w:rsidR="00B00844" w:rsidRPr="00B00844">
        <w:rPr>
          <w:bCs/>
          <w:szCs w:val="24"/>
        </w:rPr>
        <w:t xml:space="preserve"> </w:t>
      </w:r>
      <w:r w:rsidR="00A33F19" w:rsidRPr="00B00844">
        <w:rPr>
          <w:bCs/>
          <w:szCs w:val="24"/>
        </w:rPr>
        <w:t xml:space="preserve">Accounts Receivables went down by $15,000 this year and </w:t>
      </w:r>
      <w:r w:rsidR="007968A3" w:rsidRPr="00B00844">
        <w:rPr>
          <w:bCs/>
          <w:szCs w:val="24"/>
        </w:rPr>
        <w:t>debt is still attached to students and</w:t>
      </w:r>
      <w:r w:rsidR="00B00844" w:rsidRPr="00B00844">
        <w:rPr>
          <w:bCs/>
          <w:szCs w:val="24"/>
        </w:rPr>
        <w:t xml:space="preserve"> </w:t>
      </w:r>
      <w:r w:rsidR="007968A3" w:rsidRPr="00B00844">
        <w:rPr>
          <w:bCs/>
          <w:szCs w:val="24"/>
        </w:rPr>
        <w:t>they are responsible for paying their balance.</w:t>
      </w:r>
    </w:p>
    <w:p w14:paraId="0A602BEB" w14:textId="268197A3" w:rsidR="007968A3" w:rsidRPr="00B56632" w:rsidRDefault="007968A3" w:rsidP="00B00844">
      <w:pPr>
        <w:spacing w:after="0"/>
        <w:rPr>
          <w:bCs/>
        </w:rPr>
      </w:pPr>
    </w:p>
    <w:p w14:paraId="54A31AB3" w14:textId="5C1C9461" w:rsidR="007968A3" w:rsidRPr="00B00844" w:rsidRDefault="007968A3" w:rsidP="00B00844">
      <w:pPr>
        <w:spacing w:after="0"/>
        <w:rPr>
          <w:bCs/>
          <w:szCs w:val="24"/>
        </w:rPr>
      </w:pPr>
      <w:r w:rsidRPr="00B00844">
        <w:rPr>
          <w:bCs/>
          <w:szCs w:val="24"/>
        </w:rPr>
        <w:t>Trustee Burnett made a MOTION to approve the Accounts Receivable and Write Offs Report. Trustee Schneider SECONDED the motion and the motion was APPROVED by the committee.</w:t>
      </w:r>
    </w:p>
    <w:p w14:paraId="5CFF1BD0" w14:textId="0FD0E418" w:rsidR="00A76D17" w:rsidRPr="00B56632" w:rsidRDefault="00A76D17" w:rsidP="000739AE">
      <w:pPr>
        <w:spacing w:after="0"/>
        <w:ind w:left="2430" w:hanging="2430"/>
        <w:rPr>
          <w:bCs/>
        </w:rPr>
      </w:pPr>
      <w:r w:rsidRPr="00B56632">
        <w:rPr>
          <w:bCs/>
        </w:rPr>
        <w:tab/>
      </w:r>
      <w:r w:rsidRPr="00B56632">
        <w:rPr>
          <w:bCs/>
        </w:rPr>
        <w:tab/>
      </w:r>
      <w:r w:rsidRPr="00B56632">
        <w:rPr>
          <w:bCs/>
        </w:rPr>
        <w:tab/>
        <w:t xml:space="preserve">     </w:t>
      </w:r>
    </w:p>
    <w:p w14:paraId="50D59B3F" w14:textId="1BFA752B" w:rsidR="00F24F63" w:rsidRPr="00B00844" w:rsidRDefault="00F24F63" w:rsidP="009D24B2">
      <w:pPr>
        <w:pStyle w:val="Heading2"/>
        <w:rPr>
          <w:szCs w:val="24"/>
        </w:rPr>
      </w:pPr>
      <w:r w:rsidRPr="00B00844">
        <w:rPr>
          <w:szCs w:val="24"/>
        </w:rPr>
        <w:t xml:space="preserve">Item </w:t>
      </w:r>
      <w:r w:rsidR="00B00844" w:rsidRPr="00B00844">
        <w:rPr>
          <w:szCs w:val="24"/>
        </w:rPr>
        <w:t xml:space="preserve">– </w:t>
      </w:r>
      <w:r w:rsidR="000739AE" w:rsidRPr="00B00844">
        <w:rPr>
          <w:szCs w:val="24"/>
        </w:rPr>
        <w:t>6</w:t>
      </w:r>
      <w:r w:rsidR="00B00844">
        <w:rPr>
          <w:szCs w:val="24"/>
        </w:rPr>
        <w:t xml:space="preserve"> </w:t>
      </w:r>
      <w:r w:rsidR="00D11204" w:rsidRPr="00B00844">
        <w:rPr>
          <w:szCs w:val="24"/>
        </w:rPr>
        <w:t>Adjournment</w:t>
      </w:r>
    </w:p>
    <w:p w14:paraId="551C4D6E" w14:textId="77777777" w:rsidR="00B56632" w:rsidRPr="00B00844" w:rsidRDefault="00B56632" w:rsidP="009D24B2">
      <w:pPr>
        <w:spacing w:after="0" w:line="240" w:lineRule="auto"/>
        <w:rPr>
          <w:szCs w:val="24"/>
        </w:rPr>
      </w:pPr>
    </w:p>
    <w:p w14:paraId="481243BD" w14:textId="7A968940" w:rsidR="007968A3" w:rsidRPr="00B00844" w:rsidRDefault="00AB56BE" w:rsidP="009D24B2">
      <w:pPr>
        <w:spacing w:after="0" w:line="240" w:lineRule="auto"/>
        <w:rPr>
          <w:szCs w:val="24"/>
        </w:rPr>
      </w:pPr>
      <w:r w:rsidRPr="00B00844">
        <w:rPr>
          <w:szCs w:val="24"/>
        </w:rPr>
        <w:t>Trustee Joost</w:t>
      </w:r>
      <w:r w:rsidR="007968A3" w:rsidRPr="00B00844">
        <w:rPr>
          <w:szCs w:val="24"/>
        </w:rPr>
        <w:t xml:space="preserve"> adjourned </w:t>
      </w:r>
      <w:r w:rsidRPr="00B00844">
        <w:rPr>
          <w:szCs w:val="24"/>
        </w:rPr>
        <w:t xml:space="preserve">the meeting </w:t>
      </w:r>
      <w:r w:rsidR="007968A3" w:rsidRPr="00B00844">
        <w:rPr>
          <w:szCs w:val="24"/>
        </w:rPr>
        <w:t xml:space="preserve">at </w:t>
      </w:r>
      <w:r w:rsidRPr="00B00844">
        <w:rPr>
          <w:szCs w:val="24"/>
        </w:rPr>
        <w:t>11:11 a.m.</w:t>
      </w:r>
    </w:p>
    <w:sectPr w:rsidR="007968A3" w:rsidRPr="00B00844" w:rsidSect="00AB56BE">
      <w:headerReference w:type="default" r:id="rId10"/>
      <w:pgSz w:w="12240" w:h="15840" w:code="1"/>
      <w:pgMar w:top="72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E913" w14:textId="77777777" w:rsidR="002E5737" w:rsidRDefault="002E5737" w:rsidP="00A76D17">
      <w:pPr>
        <w:spacing w:after="0" w:line="240" w:lineRule="auto"/>
      </w:pPr>
      <w:r>
        <w:separator/>
      </w:r>
    </w:p>
  </w:endnote>
  <w:endnote w:type="continuationSeparator" w:id="0">
    <w:p w14:paraId="2901B2D5" w14:textId="77777777" w:rsidR="002E5737" w:rsidRDefault="002E5737" w:rsidP="00A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BB7C" w14:textId="77777777" w:rsidR="002E5737" w:rsidRDefault="002E5737" w:rsidP="00A76D17">
      <w:pPr>
        <w:spacing w:after="0" w:line="240" w:lineRule="auto"/>
      </w:pPr>
      <w:r>
        <w:separator/>
      </w:r>
    </w:p>
  </w:footnote>
  <w:footnote w:type="continuationSeparator" w:id="0">
    <w:p w14:paraId="6FF17391" w14:textId="77777777" w:rsidR="002E5737" w:rsidRDefault="002E5737" w:rsidP="00A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24D" w14:textId="6083F2C5" w:rsidR="005C0C19" w:rsidRDefault="005C0C19" w:rsidP="005C0C19">
    <w:pPr>
      <w:pStyle w:val="Header"/>
      <w:jc w:val="center"/>
    </w:pPr>
  </w:p>
  <w:p w14:paraId="0C8024D1" w14:textId="087A032F" w:rsidR="005C0C19" w:rsidRDefault="00B56632" w:rsidP="005C0C19">
    <w:pPr>
      <w:pStyle w:val="Header"/>
      <w:jc w:val="center"/>
    </w:pPr>
    <w:r>
      <w:rPr>
        <w:noProof/>
      </w:rPr>
      <w:drawing>
        <wp:inline distT="0" distB="0" distL="0" distR="0" wp14:anchorId="48525672" wp14:editId="42861BDE">
          <wp:extent cx="2066925" cy="878205"/>
          <wp:effectExtent l="0" t="0" r="9525" b="0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8CDFB" w14:textId="576300F5" w:rsidR="00B56632" w:rsidRDefault="00B56632" w:rsidP="005C0C19">
    <w:pPr>
      <w:pStyle w:val="Header"/>
      <w:jc w:val="center"/>
    </w:pPr>
  </w:p>
  <w:p w14:paraId="0A5AEAE1" w14:textId="77777777" w:rsidR="00B56632" w:rsidRDefault="00B56632" w:rsidP="00B56632">
    <w:pPr>
      <w:pStyle w:val="Header"/>
      <w:jc w:val="center"/>
      <w:rPr>
        <w:szCs w:val="24"/>
      </w:rPr>
    </w:pPr>
    <w:r w:rsidRPr="003116C5">
      <w:rPr>
        <w:szCs w:val="24"/>
      </w:rPr>
      <w:t>Board of Trustees</w:t>
    </w:r>
    <w:r>
      <w:rPr>
        <w:szCs w:val="24"/>
      </w:rPr>
      <w:t xml:space="preserve"> </w:t>
    </w:r>
  </w:p>
  <w:p w14:paraId="258D2132" w14:textId="77777777" w:rsidR="00932A37" w:rsidRDefault="00932A37" w:rsidP="00B56632">
    <w:pPr>
      <w:pStyle w:val="Header"/>
      <w:jc w:val="center"/>
      <w:rPr>
        <w:szCs w:val="24"/>
      </w:rPr>
    </w:pPr>
  </w:p>
  <w:p w14:paraId="5CF1698B" w14:textId="02878F32" w:rsidR="00B56632" w:rsidRDefault="00B56632" w:rsidP="00B56632">
    <w:pPr>
      <w:pStyle w:val="Header"/>
      <w:jc w:val="center"/>
      <w:rPr>
        <w:szCs w:val="24"/>
      </w:rPr>
    </w:pPr>
    <w:r>
      <w:rPr>
        <w:szCs w:val="24"/>
      </w:rPr>
      <w:t>Finance and Facilities Committee</w:t>
    </w:r>
  </w:p>
  <w:p w14:paraId="3F6875AC" w14:textId="77777777" w:rsidR="00932A37" w:rsidRDefault="00932A37" w:rsidP="00B56632">
    <w:pPr>
      <w:pStyle w:val="Header"/>
      <w:jc w:val="center"/>
      <w:rPr>
        <w:szCs w:val="24"/>
      </w:rPr>
    </w:pPr>
  </w:p>
  <w:p w14:paraId="346ACEFE" w14:textId="257721C6" w:rsidR="00B56632" w:rsidRDefault="00B56632" w:rsidP="00B56632">
    <w:pPr>
      <w:pStyle w:val="Header"/>
      <w:jc w:val="center"/>
      <w:rPr>
        <w:szCs w:val="24"/>
      </w:rPr>
    </w:pPr>
    <w:r>
      <w:rPr>
        <w:szCs w:val="24"/>
      </w:rPr>
      <w:t>October 12, 2020</w:t>
    </w:r>
  </w:p>
  <w:p w14:paraId="18160DD2" w14:textId="77777777" w:rsidR="00932A37" w:rsidRDefault="00932A37" w:rsidP="00B56632">
    <w:pPr>
      <w:pStyle w:val="Header"/>
      <w:jc w:val="center"/>
      <w:rPr>
        <w:szCs w:val="24"/>
      </w:rPr>
    </w:pPr>
  </w:p>
  <w:p w14:paraId="66577E0C" w14:textId="1043E788" w:rsidR="00932A37" w:rsidRDefault="00932A37" w:rsidP="00B56632">
    <w:pPr>
      <w:pStyle w:val="Header"/>
      <w:jc w:val="center"/>
      <w:rPr>
        <w:szCs w:val="24"/>
      </w:rPr>
    </w:pPr>
    <w:r>
      <w:rPr>
        <w:szCs w:val="24"/>
      </w:rPr>
      <w:t>10:45 a.m. – 11:15 a.m.</w:t>
    </w:r>
  </w:p>
  <w:p w14:paraId="306A8BF2" w14:textId="77777777" w:rsidR="00932A37" w:rsidRDefault="00932A37" w:rsidP="00B56632">
    <w:pPr>
      <w:pStyle w:val="Header"/>
      <w:jc w:val="center"/>
      <w:rPr>
        <w:i/>
        <w:iCs/>
        <w:szCs w:val="24"/>
      </w:rPr>
    </w:pPr>
  </w:p>
  <w:p w14:paraId="71616BEC" w14:textId="7BF601F1" w:rsidR="005C0C19" w:rsidRPr="008A1BDA" w:rsidRDefault="00B56632" w:rsidP="008A1BDA">
    <w:pPr>
      <w:pStyle w:val="Header"/>
      <w:jc w:val="center"/>
      <w:rPr>
        <w:i/>
        <w:iCs/>
        <w:szCs w:val="24"/>
      </w:rPr>
    </w:pPr>
    <w:r w:rsidRPr="003116C5">
      <w:rPr>
        <w:i/>
        <w:iCs/>
        <w:szCs w:val="24"/>
      </w:rPr>
      <w:t>virtual meeting</w:t>
    </w:r>
  </w:p>
  <w:p w14:paraId="41781EC7" w14:textId="77777777" w:rsidR="005C0C19" w:rsidRDefault="005C0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3E87"/>
    <w:multiLevelType w:val="hybridMultilevel"/>
    <w:tmpl w:val="FB68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7"/>
    <w:rsid w:val="00021A2D"/>
    <w:rsid w:val="000739AE"/>
    <w:rsid w:val="00083C77"/>
    <w:rsid w:val="000952EA"/>
    <w:rsid w:val="00096805"/>
    <w:rsid w:val="00182362"/>
    <w:rsid w:val="00295104"/>
    <w:rsid w:val="002956E9"/>
    <w:rsid w:val="002D5ED5"/>
    <w:rsid w:val="002E0E57"/>
    <w:rsid w:val="002E5737"/>
    <w:rsid w:val="002E74E0"/>
    <w:rsid w:val="00332FAE"/>
    <w:rsid w:val="003D4CF5"/>
    <w:rsid w:val="0040308A"/>
    <w:rsid w:val="00470939"/>
    <w:rsid w:val="00473A0C"/>
    <w:rsid w:val="004B29C7"/>
    <w:rsid w:val="00522961"/>
    <w:rsid w:val="005828FB"/>
    <w:rsid w:val="005A34E7"/>
    <w:rsid w:val="005C0C19"/>
    <w:rsid w:val="006204A2"/>
    <w:rsid w:val="006810F6"/>
    <w:rsid w:val="00693741"/>
    <w:rsid w:val="006E55FA"/>
    <w:rsid w:val="007231A1"/>
    <w:rsid w:val="00733072"/>
    <w:rsid w:val="007968A3"/>
    <w:rsid w:val="007E64CD"/>
    <w:rsid w:val="008004A6"/>
    <w:rsid w:val="00822665"/>
    <w:rsid w:val="00892430"/>
    <w:rsid w:val="0089751D"/>
    <w:rsid w:val="008A07DF"/>
    <w:rsid w:val="008A1BDA"/>
    <w:rsid w:val="008D6567"/>
    <w:rsid w:val="00932A37"/>
    <w:rsid w:val="0096438C"/>
    <w:rsid w:val="009A4A52"/>
    <w:rsid w:val="009C6EAF"/>
    <w:rsid w:val="009D24B2"/>
    <w:rsid w:val="00A33F19"/>
    <w:rsid w:val="00A678F2"/>
    <w:rsid w:val="00A76D17"/>
    <w:rsid w:val="00AB56BE"/>
    <w:rsid w:val="00B00844"/>
    <w:rsid w:val="00B56632"/>
    <w:rsid w:val="00BB0181"/>
    <w:rsid w:val="00C770C2"/>
    <w:rsid w:val="00C94A38"/>
    <w:rsid w:val="00CA0EC1"/>
    <w:rsid w:val="00D11204"/>
    <w:rsid w:val="00D229EC"/>
    <w:rsid w:val="00D262B2"/>
    <w:rsid w:val="00D82D91"/>
    <w:rsid w:val="00E260EA"/>
    <w:rsid w:val="00EB4DB9"/>
    <w:rsid w:val="00EC4641"/>
    <w:rsid w:val="00ED0229"/>
    <w:rsid w:val="00EE1F07"/>
    <w:rsid w:val="00F24F63"/>
    <w:rsid w:val="00F46F08"/>
    <w:rsid w:val="00F51EAC"/>
    <w:rsid w:val="00FD0E79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39E47"/>
  <w15:chartTrackingRefBased/>
  <w15:docId w15:val="{B1366B45-99EF-48B4-AD60-DE243835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91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632"/>
    <w:pPr>
      <w:spacing w:after="0"/>
      <w:ind w:left="2385" w:hanging="238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632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72"/>
  </w:style>
  <w:style w:type="paragraph" w:customStyle="1" w:styleId="Default">
    <w:name w:val="Default"/>
    <w:rsid w:val="00C77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10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17"/>
  </w:style>
  <w:style w:type="character" w:customStyle="1" w:styleId="Heading1Char">
    <w:name w:val="Heading 1 Char"/>
    <w:basedOn w:val="DefaultParagraphFont"/>
    <w:link w:val="Heading1"/>
    <w:uiPriority w:val="9"/>
    <w:rsid w:val="00B56632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56632"/>
    <w:rPr>
      <w:rFonts w:ascii="Book Antiqua" w:hAnsi="Book Antiqua"/>
      <w:b/>
    </w:rPr>
  </w:style>
  <w:style w:type="paragraph" w:styleId="NoSpacing">
    <w:name w:val="No Spacing"/>
    <w:uiPriority w:val="1"/>
    <w:qFormat/>
    <w:rsid w:val="00D82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49F53-C88B-4CD2-A7F5-4B9034E0FE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5973e8a-def9-4d8d-a7e9-e360b810fc45"/>
    <ds:schemaRef ds:uri="497b8821-c434-482d-80b7-9ec460cf7c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7A4A15-E11E-46F3-A23E-145B98E6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97637-1865-48D0-BD62-310224DD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18</cp:revision>
  <cp:lastPrinted>2020-10-13T13:13:00Z</cp:lastPrinted>
  <dcterms:created xsi:type="dcterms:W3CDTF">2020-10-26T21:55:00Z</dcterms:created>
  <dcterms:modified xsi:type="dcterms:W3CDTF">2022-08-01T13:48:00Z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