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9FF5" w14:textId="77777777" w:rsidR="00B33CCD" w:rsidRPr="00350460" w:rsidRDefault="00B33CCD" w:rsidP="00B33CCD">
      <w:pPr>
        <w:pStyle w:val="BodyText"/>
        <w:ind w:left="0"/>
      </w:pPr>
    </w:p>
    <w:p w14:paraId="1CBF520C" w14:textId="77777777" w:rsidR="00B33CCD" w:rsidRPr="00350460" w:rsidRDefault="00B33CCD" w:rsidP="00B33CCD">
      <w:pPr>
        <w:pStyle w:val="Heading1"/>
      </w:pPr>
      <w:r w:rsidRPr="00350460">
        <w:t>MINUTES</w:t>
      </w:r>
    </w:p>
    <w:p w14:paraId="72BB5A3E" w14:textId="77777777" w:rsidR="00B33CCD" w:rsidRPr="00350460" w:rsidRDefault="00B33CCD" w:rsidP="00B33CCD">
      <w:pPr>
        <w:pStyle w:val="BodyText"/>
      </w:pPr>
    </w:p>
    <w:p w14:paraId="1881EC18" w14:textId="77777777" w:rsidR="00B33CCD" w:rsidRPr="00350460" w:rsidRDefault="00B33CCD" w:rsidP="00B33CCD">
      <w:pPr>
        <w:pStyle w:val="BodyText"/>
      </w:pPr>
    </w:p>
    <w:p w14:paraId="4B4B1A07" w14:textId="77777777" w:rsidR="00B33CCD" w:rsidRPr="00350460" w:rsidRDefault="00B33CCD" w:rsidP="00B33CCD">
      <w:pPr>
        <w:pStyle w:val="BodyText"/>
      </w:pPr>
      <w:r w:rsidRPr="00350460">
        <w:rPr>
          <w:rStyle w:val="Heading3Char"/>
        </w:rPr>
        <w:t>Trustees Present:</w:t>
      </w:r>
      <w:r w:rsidRPr="00350460">
        <w:t xml:space="preserve"> Kevin Hyde (Chair), Trustee Aloszka, Trustee Bryan, Trustee Burnett, Annie Egan, David Fenner, Stephen Joost, Paul McElroy, Hans Tanzler</w:t>
      </w:r>
    </w:p>
    <w:p w14:paraId="1B32590F" w14:textId="77777777" w:rsidR="00B33CCD" w:rsidRPr="00350460" w:rsidRDefault="00B33CCD" w:rsidP="00B33CCD">
      <w:pPr>
        <w:pStyle w:val="BodyText"/>
      </w:pPr>
    </w:p>
    <w:p w14:paraId="758F581B" w14:textId="77777777" w:rsidR="00B33CCD" w:rsidRPr="00350460" w:rsidRDefault="00B33CCD" w:rsidP="00B33CCD">
      <w:pPr>
        <w:ind w:left="119"/>
        <w:rPr>
          <w:szCs w:val="24"/>
        </w:rPr>
      </w:pPr>
      <w:r w:rsidRPr="00350460">
        <w:rPr>
          <w:rStyle w:val="Heading3Char"/>
        </w:rPr>
        <w:t>Trustees Absent (excused):</w:t>
      </w:r>
      <w:r w:rsidRPr="00350460">
        <w:rPr>
          <w:szCs w:val="24"/>
        </w:rPr>
        <w:t xml:space="preserve"> Wilfredo Gonzalez, Adam Hollingsworth, Sharon Wamble-King</w:t>
      </w:r>
    </w:p>
    <w:p w14:paraId="173404D7" w14:textId="77777777" w:rsidR="00B33CCD" w:rsidRPr="00350460" w:rsidRDefault="00B33CCD" w:rsidP="00B33CCD">
      <w:pPr>
        <w:pStyle w:val="BodyText"/>
      </w:pPr>
    </w:p>
    <w:p w14:paraId="41AA577D" w14:textId="77777777" w:rsidR="00B33CCD" w:rsidRPr="00B33CCD" w:rsidRDefault="00B33CCD" w:rsidP="00B33CCD">
      <w:pPr>
        <w:pStyle w:val="Heading2"/>
      </w:pPr>
      <w:r w:rsidRPr="00B33CCD">
        <w:t>Item 1 Call to Order</w:t>
      </w:r>
    </w:p>
    <w:p w14:paraId="3EEB36C5" w14:textId="77777777" w:rsidR="00B33CCD" w:rsidRPr="00350460" w:rsidRDefault="00B33CCD" w:rsidP="00B33CCD">
      <w:pPr>
        <w:pStyle w:val="BodyText"/>
      </w:pPr>
      <w:r w:rsidRPr="00350460">
        <w:t>Chair Hyde called the meeting to order at 3:13 p.m. and recognized a quorum.</w:t>
      </w:r>
    </w:p>
    <w:p w14:paraId="60A0EDAB" w14:textId="77777777" w:rsidR="00B33CCD" w:rsidRPr="00350460" w:rsidRDefault="00B33CCD" w:rsidP="00B33CCD">
      <w:pPr>
        <w:pStyle w:val="BodyText"/>
      </w:pPr>
    </w:p>
    <w:p w14:paraId="18CAAB9D" w14:textId="77777777" w:rsidR="00B33CCD" w:rsidRPr="00B33CCD" w:rsidRDefault="00B33CCD" w:rsidP="00B33CCD">
      <w:pPr>
        <w:pStyle w:val="Heading2"/>
      </w:pPr>
      <w:r w:rsidRPr="00B33CCD">
        <w:t>Item 2 Public Comments</w:t>
      </w:r>
    </w:p>
    <w:p w14:paraId="32266E7E" w14:textId="77777777" w:rsidR="00B33CCD" w:rsidRPr="00350460" w:rsidRDefault="00B33CCD" w:rsidP="00B33CCD">
      <w:pPr>
        <w:pStyle w:val="BodyText"/>
      </w:pPr>
      <w:r w:rsidRPr="00350460">
        <w:t>Chair Hyde offered those in attendance the opportunity to comment on items on the Plenary agenda. There were no public comments.</w:t>
      </w:r>
    </w:p>
    <w:p w14:paraId="0769A40E" w14:textId="77777777" w:rsidR="00B33CCD" w:rsidRPr="00350460" w:rsidRDefault="00B33CCD" w:rsidP="00B33CCD">
      <w:pPr>
        <w:pStyle w:val="BodyText"/>
      </w:pPr>
    </w:p>
    <w:p w14:paraId="7AC75D1D" w14:textId="77777777" w:rsidR="00B33CCD" w:rsidRPr="00B33CCD" w:rsidRDefault="00B33CCD" w:rsidP="00B33CCD">
      <w:pPr>
        <w:pStyle w:val="Heading2"/>
      </w:pPr>
      <w:r w:rsidRPr="00B33CCD">
        <w:t>Item 3 Consent Agenda</w:t>
      </w:r>
    </w:p>
    <w:p w14:paraId="4D4C0BEF" w14:textId="77777777" w:rsidR="00B33CCD" w:rsidRPr="00350460" w:rsidRDefault="00B33CCD" w:rsidP="00B33CCD">
      <w:pPr>
        <w:pStyle w:val="BodyText"/>
      </w:pPr>
      <w:r w:rsidRPr="00350460">
        <w:t>Chair Hyde asked if there were any questions regarding any of the items on the consent agenda. As there were none, Chair Hyde asked for a MOTION to approve the consent agenda. Trustee McElroy made a MOTION to approve and Trustee Egan SECONDED the motion. The consent agenda was APPROVED.</w:t>
      </w:r>
    </w:p>
    <w:p w14:paraId="7972A6F6" w14:textId="77777777" w:rsidR="00B33CCD" w:rsidRPr="00350460" w:rsidRDefault="00B33CCD" w:rsidP="00B33CCD">
      <w:pPr>
        <w:pStyle w:val="BodyText"/>
      </w:pPr>
    </w:p>
    <w:p w14:paraId="3E7C3516" w14:textId="77777777" w:rsidR="00B33CCD" w:rsidRPr="00B33CCD" w:rsidRDefault="00B33CCD" w:rsidP="00B33CCD">
      <w:pPr>
        <w:pStyle w:val="Heading2"/>
      </w:pPr>
      <w:r w:rsidRPr="00B33CCD">
        <w:t>Item 4 Chair’s Report</w:t>
      </w:r>
    </w:p>
    <w:p w14:paraId="7E88B9E7" w14:textId="7B3B9B71" w:rsidR="00B33CCD" w:rsidRPr="00350460" w:rsidRDefault="00B33CCD" w:rsidP="00B33CCD">
      <w:pPr>
        <w:pStyle w:val="BodyText"/>
      </w:pPr>
      <w:r w:rsidRPr="00350460">
        <w:t>Chair Hyde spoke about the upcoming 10/29/19 Board of Governors Trustee Summit at the University of Florida and the focus of the Summit. He reconfirmed the importance of Trustee participation at the Summit and stated that he looks forward to seeing everyone in Gainesville. Chair Hyde relayed that the case of Mark Tumeo, Plaintiff vs. The Board of Trustees of the University of North Florida has been concluded, and there will be no further action.</w:t>
      </w:r>
      <w:r w:rsidR="00DB53FB" w:rsidRPr="00350460">
        <w:t xml:space="preserve"> </w:t>
      </w:r>
    </w:p>
    <w:p w14:paraId="4F1390B4" w14:textId="77777777" w:rsidR="00DB53FB" w:rsidRDefault="00DB53FB" w:rsidP="000C50F8">
      <w:pPr>
        <w:pStyle w:val="NoSpacing"/>
      </w:pPr>
    </w:p>
    <w:p w14:paraId="54DF1729" w14:textId="38C740F4" w:rsidR="00B33CCD" w:rsidRPr="00B33CCD" w:rsidRDefault="00B33CCD" w:rsidP="00B33CCD">
      <w:pPr>
        <w:pStyle w:val="Heading2"/>
      </w:pPr>
      <w:r w:rsidRPr="00B33CCD">
        <w:t>Item 5 Strategic Analytics Update</w:t>
      </w:r>
    </w:p>
    <w:p w14:paraId="298217ED" w14:textId="1BF44D38" w:rsidR="00B33CCD" w:rsidRDefault="00B33CCD" w:rsidP="000C50F8">
      <w:pPr>
        <w:pStyle w:val="BodyText"/>
      </w:pPr>
      <w:r w:rsidRPr="00350460">
        <w:t>At the Chair’s request, and with the concurrence of the Board, the Strategic Analytics Update by Vice President Jay Coleman had been moved to the Trustee</w:t>
      </w:r>
      <w:r w:rsidR="000C50F8">
        <w:t xml:space="preserve"> </w:t>
      </w:r>
      <w:r w:rsidRPr="00350460">
        <w:lastRenderedPageBreak/>
        <w:t>Workshop and had taken place earlier in the morning.</w:t>
      </w:r>
    </w:p>
    <w:p w14:paraId="5B1FD744" w14:textId="77777777" w:rsidR="00DB53FB" w:rsidRDefault="00DB53FB" w:rsidP="00DB53FB">
      <w:pPr>
        <w:pStyle w:val="BodyText"/>
      </w:pPr>
    </w:p>
    <w:p w14:paraId="7EDCB569" w14:textId="77777777" w:rsidR="00B33CCD" w:rsidRPr="00B33CCD" w:rsidRDefault="00B33CCD" w:rsidP="00B33CCD">
      <w:pPr>
        <w:pStyle w:val="Heading2"/>
      </w:pPr>
      <w:r w:rsidRPr="00B33CCD">
        <w:t>Item 6 Board Discussion on Strategic Themes</w:t>
      </w:r>
    </w:p>
    <w:p w14:paraId="742886EF" w14:textId="77777777" w:rsidR="00B33CCD" w:rsidRPr="00350460" w:rsidRDefault="00B33CCD" w:rsidP="00B33CCD">
      <w:pPr>
        <w:pStyle w:val="BodyText"/>
      </w:pPr>
      <w:r w:rsidRPr="00350460">
        <w:t>Trustee McElroy led the Trustees, in follow-up to the 9/12/19 annual Trustee Retreat, in a continued discussion on trends in higher education. He summarized the four overarching themes which emerged from the Trustees’ discussions at the annual retreat: the need fo</w:t>
      </w:r>
      <w:r>
        <w:t>r</w:t>
      </w:r>
      <w:r w:rsidRPr="00350460">
        <w:t>sustainability and competitiveness; changing demographics and the need to ensure that UNF student, faculty, and staff populations reflect current demographics; offering opportunities for life-long learning (classical liberal arts) skill sets, and the need for continued technological innovation. Trustee Egan emphasized the need for not only academic, but also cultural and professional literacy for students. Trustee McElroy concurred and stated that technical literacy is also essential. Vice President Bruder relayed that Dean Rainbolt is currently examining how we talk about the humanities and how skills developed through studying the humanities are applicable to various fields and occupations. In order to assist the Trustees’ analysis of emerging trends in higher education and UNF’s needs within these trends, Chair Hyde requested that Trustee McElroy and Provost Rhodes work together to identify additional areas for strategic discussion at the 2020 Board of Trustees meetings.</w:t>
      </w:r>
    </w:p>
    <w:p w14:paraId="51CD8086" w14:textId="77777777" w:rsidR="00B33CCD" w:rsidRPr="00350460" w:rsidRDefault="00B33CCD" w:rsidP="00B33CCD">
      <w:pPr>
        <w:pStyle w:val="BodyText"/>
      </w:pPr>
    </w:p>
    <w:p w14:paraId="53C87EB4" w14:textId="77777777" w:rsidR="00B33CCD" w:rsidRPr="00B33CCD" w:rsidRDefault="00B33CCD" w:rsidP="00B33CCD">
      <w:pPr>
        <w:pStyle w:val="Heading2"/>
      </w:pPr>
      <w:r w:rsidRPr="00B33CCD">
        <w:t>Item 7 Training and Service Institute (TSI)/Institute of Police Technology and Management (IPTM)</w:t>
      </w:r>
    </w:p>
    <w:p w14:paraId="4DB19A0E" w14:textId="77777777" w:rsidR="00B33CCD" w:rsidRPr="00350460" w:rsidRDefault="00B33CCD" w:rsidP="00B33CCD">
      <w:pPr>
        <w:pStyle w:val="BodyText"/>
      </w:pPr>
      <w:r w:rsidRPr="00350460">
        <w:t>Vice President Shuman addressed the Board and reminded them that, throughout the year, we have been providing orientations about the University’s DSOs. Today’s presentation is an orientation on the Training Services Institute (TSI) – specifically, on the Institute of Police Technology and Management (IPTM) within TSI. She introduced Director Cammy Pucci.</w:t>
      </w:r>
    </w:p>
    <w:p w14:paraId="316FDCAF" w14:textId="77777777" w:rsidR="00B33CCD" w:rsidRPr="00350460" w:rsidRDefault="00B33CCD" w:rsidP="00B33CCD">
      <w:pPr>
        <w:pStyle w:val="BodyText"/>
      </w:pPr>
    </w:p>
    <w:p w14:paraId="2A5C617B" w14:textId="77777777" w:rsidR="000C50F8" w:rsidRDefault="00B33CCD" w:rsidP="000C50F8">
      <w:pPr>
        <w:pStyle w:val="BodyText"/>
        <w:spacing w:after="600"/>
        <w:ind w:left="115" w:right="706"/>
      </w:pPr>
      <w:r w:rsidRPr="00350460">
        <w:t>Ms. Pucci gave an overview of how IPTM was formed and its offerings. IPTM delivers 400 law enforcement courses per year in 55 states and U.S. territories. It</w:t>
      </w:r>
      <w:r w:rsidR="000C50F8">
        <w:t xml:space="preserve"> </w:t>
      </w:r>
      <w:r w:rsidRPr="00350460">
        <w:t xml:space="preserve">has offered online and on-site training to more than 500,000 students. Courses include specialized trainings, as well as trainings in crash investigations, criminal investigations, impaired driving and traffic safety, leadership management, and tactical and crisis negotiations. In its 29 years, IPTM has brought in revenues of </w:t>
      </w:r>
      <w:r w:rsidRPr="00350460">
        <w:lastRenderedPageBreak/>
        <w:t>$7,101,309. 2019 was its strongest year, with revenues of $702,793.</w:t>
      </w:r>
    </w:p>
    <w:p w14:paraId="18C265ED" w14:textId="3526BE39" w:rsidR="00B33CCD" w:rsidRPr="00350460" w:rsidRDefault="00B33CCD" w:rsidP="000C50F8">
      <w:pPr>
        <w:ind w:left="115"/>
      </w:pPr>
      <w:r w:rsidRPr="00350460">
        <w:t xml:space="preserve">TSI has provided over $8.1 million dollars for </w:t>
      </w:r>
      <w:proofErr w:type="gramStart"/>
      <w:r w:rsidRPr="00350460">
        <w:t>University</w:t>
      </w:r>
      <w:proofErr w:type="gramEnd"/>
      <w:r w:rsidRPr="00350460">
        <w:t xml:space="preserve"> capital improvements. The entity provided monies for the UNF Library renovations, construction of the Social Sciences building, Brooks College of Health building expansion, and the student union. In addition, TSI purchased land from the Research and Development Authority for use in the Osprey Fountains housing project. Transactions for the ADT building are also within the TSI</w:t>
      </w:r>
      <w:r w:rsidRPr="00350460">
        <w:rPr>
          <w:spacing w:val="-18"/>
        </w:rPr>
        <w:t xml:space="preserve"> </w:t>
      </w:r>
      <w:r w:rsidRPr="00350460">
        <w:t>entity.</w:t>
      </w:r>
    </w:p>
    <w:p w14:paraId="74CD0498" w14:textId="77777777" w:rsidR="00B33CCD" w:rsidRPr="00350460" w:rsidRDefault="00B33CCD" w:rsidP="00B33CCD">
      <w:pPr>
        <w:pStyle w:val="BodyText"/>
      </w:pPr>
    </w:p>
    <w:p w14:paraId="783630B4" w14:textId="77777777" w:rsidR="00B33CCD" w:rsidRPr="00B33CCD" w:rsidRDefault="00B33CCD" w:rsidP="00B33CCD">
      <w:pPr>
        <w:pStyle w:val="Heading2"/>
      </w:pPr>
      <w:r w:rsidRPr="00B33CCD">
        <w:t>Item 8 Adjournment</w:t>
      </w:r>
    </w:p>
    <w:p w14:paraId="51F76266" w14:textId="77777777" w:rsidR="00B33CCD" w:rsidRPr="00350460" w:rsidRDefault="00B33CCD" w:rsidP="00B33CCD">
      <w:pPr>
        <w:tabs>
          <w:tab w:val="left" w:pos="90"/>
        </w:tabs>
        <w:ind w:firstLine="90"/>
        <w:rPr>
          <w:szCs w:val="24"/>
        </w:rPr>
      </w:pPr>
      <w:r w:rsidRPr="00350460">
        <w:rPr>
          <w:szCs w:val="24"/>
        </w:rPr>
        <w:t>As there was no further business, the meeting concluded at 3:50 p.</w:t>
      </w:r>
      <w:r>
        <w:rPr>
          <w:szCs w:val="24"/>
        </w:rPr>
        <w:t>m.</w:t>
      </w:r>
    </w:p>
    <w:p w14:paraId="3D13A500" w14:textId="77777777" w:rsidR="003A457B" w:rsidRDefault="003A457B"/>
    <w:sectPr w:rsidR="003A457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91BB" w14:textId="77777777" w:rsidR="00BA75C1" w:rsidRDefault="00BA75C1" w:rsidP="00B33CCD">
      <w:r>
        <w:separator/>
      </w:r>
    </w:p>
  </w:endnote>
  <w:endnote w:type="continuationSeparator" w:id="0">
    <w:p w14:paraId="09C47EF7" w14:textId="77777777" w:rsidR="00BA75C1" w:rsidRDefault="00BA75C1" w:rsidP="00B3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6509" w14:textId="77777777" w:rsidR="00BA75C1" w:rsidRDefault="00BA75C1" w:rsidP="00B33CCD">
      <w:r>
        <w:separator/>
      </w:r>
    </w:p>
  </w:footnote>
  <w:footnote w:type="continuationSeparator" w:id="0">
    <w:p w14:paraId="6640AB3E" w14:textId="77777777" w:rsidR="00BA75C1" w:rsidRDefault="00BA75C1" w:rsidP="00B3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BF79" w14:textId="2CFACFBE" w:rsidR="00B33CCD" w:rsidRDefault="00B33CCD" w:rsidP="00B33CCD">
    <w:pPr>
      <w:pStyle w:val="Header"/>
      <w:jc w:val="center"/>
    </w:pPr>
    <w:r>
      <w:rPr>
        <w:noProof/>
      </w:rPr>
      <w:drawing>
        <wp:inline distT="0" distB="0" distL="0" distR="0" wp14:anchorId="00CA4B98" wp14:editId="4209100F">
          <wp:extent cx="2066925" cy="878205"/>
          <wp:effectExtent l="0" t="0" r="9525" b="0"/>
          <wp:docPr id="1" name="Picture 1" descr="UNF Ospre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2D006B44" w14:textId="1C8D66D1" w:rsidR="00B33CCD" w:rsidRDefault="00B33CCD" w:rsidP="00B33CCD">
    <w:pPr>
      <w:pStyle w:val="Header"/>
      <w:jc w:val="center"/>
    </w:pPr>
  </w:p>
  <w:p w14:paraId="710D8FD5" w14:textId="25B9A57A" w:rsidR="00B33CCD" w:rsidRPr="00B33CCD" w:rsidRDefault="00B33CCD" w:rsidP="00B33CCD">
    <w:pPr>
      <w:pStyle w:val="Heading2"/>
      <w:jc w:val="center"/>
    </w:pPr>
    <w:r w:rsidRPr="00B33CCD">
      <w:t>University of North Florida</w:t>
    </w:r>
  </w:p>
  <w:p w14:paraId="3053C242" w14:textId="77777777" w:rsidR="00B33CCD" w:rsidRPr="00B33CCD" w:rsidRDefault="00B33CCD" w:rsidP="00B33CCD">
    <w:pPr>
      <w:pStyle w:val="Heading2"/>
      <w:jc w:val="center"/>
    </w:pPr>
    <w:r w:rsidRPr="00B33CCD">
      <w:t>Board of Trustees</w:t>
    </w:r>
  </w:p>
  <w:p w14:paraId="18503CC3" w14:textId="77777777" w:rsidR="00B33CCD" w:rsidRPr="00B33CCD" w:rsidRDefault="00B33CCD" w:rsidP="00B33CCD">
    <w:pPr>
      <w:pStyle w:val="Heading2"/>
      <w:jc w:val="center"/>
    </w:pPr>
    <w:r w:rsidRPr="00B33CCD">
      <w:t>Plenary</w:t>
    </w:r>
  </w:p>
  <w:p w14:paraId="5937D610" w14:textId="5E0E12DC" w:rsidR="00B33CCD" w:rsidRPr="00B33CCD" w:rsidRDefault="00B33CCD" w:rsidP="00B33CCD">
    <w:pPr>
      <w:pStyle w:val="Heading2"/>
      <w:jc w:val="center"/>
    </w:pPr>
    <w:r w:rsidRPr="00B33CCD">
      <w:t>John A. Delaney Student Union</w:t>
    </w:r>
  </w:p>
  <w:p w14:paraId="4E1BF9C1" w14:textId="77777777" w:rsidR="00B33CCD" w:rsidRPr="00B33CCD" w:rsidRDefault="00B33CCD" w:rsidP="00B33CCD">
    <w:pPr>
      <w:pStyle w:val="Heading2"/>
      <w:jc w:val="center"/>
    </w:pPr>
    <w:r w:rsidRPr="00B33CCD">
      <w:t>October 17, 2019</w:t>
    </w:r>
  </w:p>
  <w:p w14:paraId="77AE33FE" w14:textId="77777777" w:rsidR="00B33CCD" w:rsidRDefault="00B33CCD" w:rsidP="00B33CC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CD"/>
    <w:rsid w:val="00072774"/>
    <w:rsid w:val="000C50F8"/>
    <w:rsid w:val="003A457B"/>
    <w:rsid w:val="00A71C6D"/>
    <w:rsid w:val="00AC52B1"/>
    <w:rsid w:val="00B33CCD"/>
    <w:rsid w:val="00BA75C1"/>
    <w:rsid w:val="00BA7EBD"/>
    <w:rsid w:val="00DB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E0B55"/>
  <w15:chartTrackingRefBased/>
  <w15:docId w15:val="{F3C133C8-5EEF-47F3-913C-5F65EE23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0F8"/>
    <w:pPr>
      <w:widowControl w:val="0"/>
      <w:autoSpaceDE w:val="0"/>
      <w:autoSpaceDN w:val="0"/>
      <w:spacing w:after="0" w:line="240" w:lineRule="auto"/>
    </w:pPr>
    <w:rPr>
      <w:rFonts w:ascii="Book Antiqua" w:eastAsia="Book Antiqua" w:hAnsi="Book Antiqua" w:cs="Book Antiqua"/>
      <w:sz w:val="24"/>
      <w:lang w:bidi="en-US"/>
    </w:rPr>
  </w:style>
  <w:style w:type="paragraph" w:styleId="Heading1">
    <w:name w:val="heading 1"/>
    <w:basedOn w:val="BodyText"/>
    <w:link w:val="Heading1Char"/>
    <w:uiPriority w:val="9"/>
    <w:qFormat/>
    <w:rsid w:val="00B33CCD"/>
    <w:pPr>
      <w:jc w:val="center"/>
      <w:outlineLvl w:val="0"/>
    </w:pPr>
    <w:rPr>
      <w:b/>
      <w:bCs/>
      <w:sz w:val="28"/>
      <w:szCs w:val="28"/>
    </w:rPr>
  </w:style>
  <w:style w:type="paragraph" w:styleId="Heading2">
    <w:name w:val="heading 2"/>
    <w:basedOn w:val="Heading3"/>
    <w:next w:val="Normal"/>
    <w:link w:val="Heading2Char"/>
    <w:uiPriority w:val="9"/>
    <w:unhideWhenUsed/>
    <w:qFormat/>
    <w:rsid w:val="00B33CCD"/>
    <w:pPr>
      <w:outlineLvl w:val="1"/>
    </w:pPr>
  </w:style>
  <w:style w:type="paragraph" w:styleId="Heading3">
    <w:name w:val="heading 3"/>
    <w:basedOn w:val="BodyText"/>
    <w:next w:val="Normal"/>
    <w:link w:val="Heading3Char"/>
    <w:uiPriority w:val="9"/>
    <w:unhideWhenUsed/>
    <w:qFormat/>
    <w:rsid w:val="00B33CC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CCD"/>
    <w:rPr>
      <w:rFonts w:ascii="Book Antiqua" w:eastAsia="Book Antiqua" w:hAnsi="Book Antiqua" w:cs="Book Antiqua"/>
      <w:b/>
      <w:bCs/>
      <w:sz w:val="28"/>
      <w:szCs w:val="28"/>
      <w:lang w:bidi="en-US"/>
    </w:rPr>
  </w:style>
  <w:style w:type="character" w:customStyle="1" w:styleId="Heading2Char">
    <w:name w:val="Heading 2 Char"/>
    <w:basedOn w:val="DefaultParagraphFont"/>
    <w:link w:val="Heading2"/>
    <w:uiPriority w:val="9"/>
    <w:rsid w:val="00B33CCD"/>
    <w:rPr>
      <w:rFonts w:ascii="Book Antiqua" w:eastAsia="Book Antiqua" w:hAnsi="Book Antiqua" w:cs="Book Antiqua"/>
      <w:b/>
      <w:sz w:val="24"/>
      <w:szCs w:val="24"/>
      <w:lang w:bidi="en-US"/>
    </w:rPr>
  </w:style>
  <w:style w:type="character" w:customStyle="1" w:styleId="Heading3Char">
    <w:name w:val="Heading 3 Char"/>
    <w:basedOn w:val="DefaultParagraphFont"/>
    <w:link w:val="Heading3"/>
    <w:uiPriority w:val="9"/>
    <w:rsid w:val="00B33CCD"/>
    <w:rPr>
      <w:rFonts w:ascii="Book Antiqua" w:eastAsia="Book Antiqua" w:hAnsi="Book Antiqua" w:cs="Book Antiqua"/>
      <w:b/>
      <w:sz w:val="24"/>
      <w:szCs w:val="24"/>
      <w:lang w:bidi="en-US"/>
    </w:rPr>
  </w:style>
  <w:style w:type="paragraph" w:styleId="BodyText">
    <w:name w:val="Body Text"/>
    <w:basedOn w:val="Normal"/>
    <w:link w:val="BodyTextChar"/>
    <w:uiPriority w:val="1"/>
    <w:qFormat/>
    <w:rsid w:val="00B33CCD"/>
    <w:pPr>
      <w:ind w:left="120" w:right="707"/>
      <w:jc w:val="both"/>
    </w:pPr>
    <w:rPr>
      <w:szCs w:val="24"/>
    </w:rPr>
  </w:style>
  <w:style w:type="character" w:customStyle="1" w:styleId="BodyTextChar">
    <w:name w:val="Body Text Char"/>
    <w:basedOn w:val="DefaultParagraphFont"/>
    <w:link w:val="BodyText"/>
    <w:uiPriority w:val="1"/>
    <w:rsid w:val="00B33CCD"/>
    <w:rPr>
      <w:rFonts w:ascii="Book Antiqua" w:eastAsia="Book Antiqua" w:hAnsi="Book Antiqua" w:cs="Book Antiqua"/>
      <w:sz w:val="24"/>
      <w:szCs w:val="24"/>
      <w:lang w:bidi="en-US"/>
    </w:rPr>
  </w:style>
  <w:style w:type="paragraph" w:styleId="Header">
    <w:name w:val="header"/>
    <w:basedOn w:val="Normal"/>
    <w:link w:val="HeaderChar"/>
    <w:uiPriority w:val="99"/>
    <w:unhideWhenUsed/>
    <w:rsid w:val="00B33CCD"/>
    <w:pPr>
      <w:tabs>
        <w:tab w:val="center" w:pos="4680"/>
        <w:tab w:val="right" w:pos="9360"/>
      </w:tabs>
    </w:pPr>
  </w:style>
  <w:style w:type="character" w:customStyle="1" w:styleId="HeaderChar">
    <w:name w:val="Header Char"/>
    <w:basedOn w:val="DefaultParagraphFont"/>
    <w:link w:val="Header"/>
    <w:uiPriority w:val="99"/>
    <w:rsid w:val="00B33CCD"/>
    <w:rPr>
      <w:rFonts w:ascii="Book Antiqua" w:eastAsia="Book Antiqua" w:hAnsi="Book Antiqua" w:cs="Book Antiqua"/>
      <w:lang w:bidi="en-US"/>
    </w:rPr>
  </w:style>
  <w:style w:type="paragraph" w:styleId="Footer">
    <w:name w:val="footer"/>
    <w:basedOn w:val="Normal"/>
    <w:link w:val="FooterChar"/>
    <w:uiPriority w:val="99"/>
    <w:unhideWhenUsed/>
    <w:rsid w:val="00B33CCD"/>
    <w:pPr>
      <w:tabs>
        <w:tab w:val="center" w:pos="4680"/>
        <w:tab w:val="right" w:pos="9360"/>
      </w:tabs>
    </w:pPr>
  </w:style>
  <w:style w:type="character" w:customStyle="1" w:styleId="FooterChar">
    <w:name w:val="Footer Char"/>
    <w:basedOn w:val="DefaultParagraphFont"/>
    <w:link w:val="Footer"/>
    <w:uiPriority w:val="99"/>
    <w:rsid w:val="00B33CCD"/>
    <w:rPr>
      <w:rFonts w:ascii="Book Antiqua" w:eastAsia="Book Antiqua" w:hAnsi="Book Antiqua" w:cs="Book Antiqua"/>
      <w:lang w:bidi="en-US"/>
    </w:rPr>
  </w:style>
  <w:style w:type="paragraph" w:styleId="NoSpacing">
    <w:name w:val="No Spacing"/>
    <w:uiPriority w:val="1"/>
    <w:qFormat/>
    <w:rsid w:val="000C50F8"/>
    <w:pPr>
      <w:widowControl w:val="0"/>
      <w:autoSpaceDE w:val="0"/>
      <w:autoSpaceDN w:val="0"/>
      <w:spacing w:after="0" w:line="240" w:lineRule="auto"/>
    </w:pPr>
    <w:rPr>
      <w:rFonts w:ascii="Book Antiqua" w:eastAsia="Book Antiqua" w:hAnsi="Book Antiqua" w:cs="Book Antiqu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Celetti, Hether</cp:lastModifiedBy>
  <cp:revision>2</cp:revision>
  <dcterms:created xsi:type="dcterms:W3CDTF">2022-08-09T19:58:00Z</dcterms:created>
  <dcterms:modified xsi:type="dcterms:W3CDTF">2022-08-09T19:58:00Z</dcterms:modified>
</cp:coreProperties>
</file>