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17AB" w14:textId="178CDF6A" w:rsidR="008D13CC" w:rsidRDefault="008D13CC" w:rsidP="004A00B2">
      <w:pPr>
        <w:pStyle w:val="NoSpacing"/>
      </w:pPr>
    </w:p>
    <w:p w14:paraId="12A103B8" w14:textId="77777777" w:rsidR="008D13CC" w:rsidRDefault="008D13CC" w:rsidP="008D13CC"/>
    <w:p w14:paraId="4618626A" w14:textId="77777777" w:rsidR="008D13CC" w:rsidRPr="001D60A7" w:rsidRDefault="008D13CC" w:rsidP="008D13CC">
      <w:pPr>
        <w:pStyle w:val="Heading1"/>
        <w:jc w:val="center"/>
        <w:rPr>
          <w:sz w:val="28"/>
          <w:szCs w:val="28"/>
        </w:rPr>
      </w:pPr>
      <w:r w:rsidRPr="001D60A7">
        <w:rPr>
          <w:sz w:val="28"/>
          <w:szCs w:val="28"/>
        </w:rPr>
        <w:t>MINUTES</w:t>
      </w:r>
    </w:p>
    <w:p w14:paraId="30845BAB" w14:textId="77777777" w:rsidR="008D13CC" w:rsidRPr="004A00B2" w:rsidRDefault="008D13CC" w:rsidP="004A00B2">
      <w:pPr>
        <w:ind w:left="90"/>
        <w:rPr>
          <w:b/>
          <w:bCs/>
        </w:rPr>
      </w:pPr>
      <w:r w:rsidRPr="004A00B2">
        <w:rPr>
          <w:b/>
          <w:bCs/>
        </w:rPr>
        <w:t>Committee Members Present</w:t>
      </w:r>
    </w:p>
    <w:p w14:paraId="60BD7CD2" w14:textId="77777777" w:rsidR="008D13CC" w:rsidRPr="001D60A7" w:rsidRDefault="008D13CC" w:rsidP="008D13CC">
      <w:pPr>
        <w:pStyle w:val="BodyText"/>
        <w:ind w:left="119"/>
        <w:rPr>
          <w:szCs w:val="24"/>
        </w:rPr>
      </w:pPr>
      <w:r w:rsidRPr="001D60A7">
        <w:rPr>
          <w:szCs w:val="24"/>
        </w:rPr>
        <w:t xml:space="preserve">Kevin Hyde, Joy Korman, Wilfredo Gonzalez, Radha Pyati, Sharon </w:t>
      </w:r>
      <w:proofErr w:type="spellStart"/>
      <w:r w:rsidRPr="001D60A7">
        <w:rPr>
          <w:szCs w:val="24"/>
        </w:rPr>
        <w:t>Wamble</w:t>
      </w:r>
      <w:proofErr w:type="spellEnd"/>
      <w:r w:rsidRPr="001D60A7">
        <w:rPr>
          <w:szCs w:val="24"/>
        </w:rPr>
        <w:t>-King, Paul McElroy</w:t>
      </w:r>
    </w:p>
    <w:p w14:paraId="606A6BFD" w14:textId="77777777" w:rsidR="008D13CC" w:rsidRPr="001D60A7" w:rsidRDefault="008D13CC" w:rsidP="008D13CC">
      <w:pPr>
        <w:pStyle w:val="BodyText"/>
        <w:rPr>
          <w:szCs w:val="24"/>
        </w:rPr>
      </w:pPr>
    </w:p>
    <w:p w14:paraId="6DBDB1BB" w14:textId="77777777" w:rsidR="008D13CC" w:rsidRPr="006709B2" w:rsidRDefault="008D13CC" w:rsidP="006709B2">
      <w:pPr>
        <w:pStyle w:val="Heading2"/>
      </w:pPr>
      <w:r w:rsidRPr="006709B2">
        <w:t>Item 1: Call to Order</w:t>
      </w:r>
    </w:p>
    <w:p w14:paraId="2158578F" w14:textId="77777777" w:rsidR="008D13CC" w:rsidRPr="001D60A7" w:rsidRDefault="008D13CC" w:rsidP="008D13CC">
      <w:pPr>
        <w:pStyle w:val="BodyText"/>
        <w:rPr>
          <w:b/>
          <w:szCs w:val="24"/>
        </w:rPr>
      </w:pPr>
    </w:p>
    <w:p w14:paraId="5523CFE8" w14:textId="77777777" w:rsidR="008D13CC" w:rsidRPr="001D60A7" w:rsidRDefault="008D13CC" w:rsidP="008D13CC">
      <w:pPr>
        <w:pStyle w:val="BodyText"/>
        <w:ind w:left="119"/>
        <w:rPr>
          <w:szCs w:val="24"/>
        </w:rPr>
      </w:pPr>
      <w:r w:rsidRPr="001D60A7">
        <w:rPr>
          <w:szCs w:val="24"/>
        </w:rPr>
        <w:t>The chair called the meeting to order.</w:t>
      </w:r>
    </w:p>
    <w:p w14:paraId="59EBD1A5" w14:textId="77777777" w:rsidR="008D13CC" w:rsidRPr="001D60A7" w:rsidRDefault="008D13CC" w:rsidP="008D13CC">
      <w:pPr>
        <w:pStyle w:val="BodyText"/>
        <w:rPr>
          <w:szCs w:val="24"/>
        </w:rPr>
      </w:pPr>
    </w:p>
    <w:p w14:paraId="46D68307" w14:textId="77777777" w:rsidR="008D13CC" w:rsidRPr="006709B2" w:rsidRDefault="008D13CC" w:rsidP="006709B2">
      <w:pPr>
        <w:pStyle w:val="Heading2"/>
      </w:pPr>
      <w:r w:rsidRPr="001D60A7">
        <w:t>Item 2: Approval of Minutes</w:t>
      </w:r>
    </w:p>
    <w:p w14:paraId="2E6D8673" w14:textId="77777777" w:rsidR="008D13CC" w:rsidRPr="006709B2" w:rsidRDefault="008D13CC" w:rsidP="004A00B2">
      <w:pPr>
        <w:pStyle w:val="NoSpacing"/>
      </w:pPr>
    </w:p>
    <w:p w14:paraId="54A8DAEB" w14:textId="77777777" w:rsidR="004A00B2" w:rsidRDefault="008D13CC" w:rsidP="004A00B2">
      <w:pPr>
        <w:pStyle w:val="BodyText"/>
        <w:ind w:left="119"/>
        <w:rPr>
          <w:szCs w:val="24"/>
        </w:rPr>
      </w:pPr>
      <w:r w:rsidRPr="001D60A7">
        <w:rPr>
          <w:szCs w:val="24"/>
        </w:rPr>
        <w:t xml:space="preserve">Minutes from January 10, </w:t>
      </w:r>
      <w:proofErr w:type="gramStart"/>
      <w:r w:rsidRPr="001D60A7">
        <w:rPr>
          <w:szCs w:val="24"/>
        </w:rPr>
        <w:t>2017</w:t>
      </w:r>
      <w:proofErr w:type="gramEnd"/>
      <w:r w:rsidRPr="001D60A7">
        <w:rPr>
          <w:szCs w:val="24"/>
        </w:rPr>
        <w:t xml:space="preserve"> were approved.</w:t>
      </w:r>
    </w:p>
    <w:p w14:paraId="68C69B8F" w14:textId="77777777" w:rsidR="004A00B2" w:rsidRDefault="004A00B2" w:rsidP="004A00B2">
      <w:pPr>
        <w:pStyle w:val="BodyText"/>
        <w:ind w:left="119"/>
        <w:rPr>
          <w:szCs w:val="24"/>
        </w:rPr>
      </w:pPr>
    </w:p>
    <w:p w14:paraId="471D270D" w14:textId="6CE3587D" w:rsidR="008D13CC" w:rsidRPr="004A00B2" w:rsidRDefault="008D13CC" w:rsidP="004A00B2">
      <w:pPr>
        <w:pStyle w:val="Heading2"/>
      </w:pPr>
      <w:r w:rsidRPr="006709B2">
        <w:rPr>
          <w:rStyle w:val="Heading2Char"/>
          <w:b/>
          <w:bCs/>
        </w:rPr>
        <w:t>Item 3: Open Comments</w:t>
      </w:r>
      <w:r w:rsidRPr="001D60A7">
        <w:t xml:space="preserve"> </w:t>
      </w:r>
    </w:p>
    <w:p w14:paraId="30C03839" w14:textId="77777777" w:rsidR="00347EC6" w:rsidRDefault="00347EC6" w:rsidP="00617626">
      <w:pPr>
        <w:ind w:firstLine="90"/>
      </w:pPr>
    </w:p>
    <w:p w14:paraId="0294AF4E" w14:textId="52EEDDCF" w:rsidR="00617626" w:rsidRPr="00347EC6" w:rsidRDefault="00617626" w:rsidP="00617626">
      <w:pPr>
        <w:ind w:firstLine="90"/>
        <w:rPr>
          <w:szCs w:val="24"/>
        </w:rPr>
      </w:pPr>
      <w:r w:rsidRPr="00347EC6">
        <w:rPr>
          <w:szCs w:val="24"/>
        </w:rPr>
        <w:t>There were no requests for open comments.</w:t>
      </w:r>
    </w:p>
    <w:p w14:paraId="446FE55B" w14:textId="77777777" w:rsidR="008D13CC" w:rsidRPr="001D60A7" w:rsidRDefault="008D13CC" w:rsidP="008D13CC">
      <w:pPr>
        <w:pStyle w:val="BodyText"/>
        <w:rPr>
          <w:szCs w:val="24"/>
        </w:rPr>
      </w:pPr>
    </w:p>
    <w:p w14:paraId="13BEA06A" w14:textId="77777777" w:rsidR="008D13CC" w:rsidRPr="006709B2" w:rsidRDefault="008D13CC" w:rsidP="006709B2">
      <w:pPr>
        <w:pStyle w:val="Heading2"/>
      </w:pPr>
      <w:r w:rsidRPr="006709B2">
        <w:t>Item 4: Approval of new degree program –Master of Science in Athletic Training</w:t>
      </w:r>
    </w:p>
    <w:p w14:paraId="131CB982" w14:textId="77777777" w:rsidR="008D13CC" w:rsidRPr="001D60A7" w:rsidRDefault="008D13CC" w:rsidP="008D13CC">
      <w:pPr>
        <w:pStyle w:val="BodyText"/>
        <w:rPr>
          <w:b/>
          <w:szCs w:val="24"/>
        </w:rPr>
      </w:pPr>
    </w:p>
    <w:p w14:paraId="50057024" w14:textId="77777777" w:rsidR="008D13CC" w:rsidRPr="001D60A7" w:rsidRDefault="008D13CC" w:rsidP="008D13CC">
      <w:pPr>
        <w:pStyle w:val="BodyText"/>
        <w:ind w:left="118" w:right="530"/>
        <w:rPr>
          <w:szCs w:val="24"/>
        </w:rPr>
      </w:pPr>
      <w:r w:rsidRPr="001D60A7">
        <w:rPr>
          <w:szCs w:val="24"/>
        </w:rPr>
        <w:t>The Brooks College of Health is seeking BOT approval for a new master’s degree program in Athletic Training.</w:t>
      </w:r>
    </w:p>
    <w:p w14:paraId="7BABEC97" w14:textId="77777777" w:rsidR="008D13CC" w:rsidRPr="001D60A7" w:rsidRDefault="008D13CC" w:rsidP="008D13CC">
      <w:pPr>
        <w:pStyle w:val="BodyText"/>
        <w:ind w:left="118" w:right="107"/>
        <w:rPr>
          <w:szCs w:val="24"/>
        </w:rPr>
      </w:pPr>
      <w:r w:rsidRPr="001D60A7">
        <w:rPr>
          <w:szCs w:val="24"/>
        </w:rPr>
        <w:t xml:space="preserve">The proposed degree is a Master of Science in Athletic Training to replace the current Bachelor of Science in Athletic Training. The Commission on Accreditation of Athletic Training Education (CAATE) has revised the standards for the professional degree in Athletic Training. The standards now state that the professional degree for Athletic Training must be at the </w:t>
      </w:r>
      <w:proofErr w:type="spellStart"/>
      <w:proofErr w:type="gramStart"/>
      <w:r w:rsidRPr="001D60A7">
        <w:rPr>
          <w:szCs w:val="24"/>
        </w:rPr>
        <w:t>Masters</w:t>
      </w:r>
      <w:proofErr w:type="spellEnd"/>
      <w:proofErr w:type="gramEnd"/>
      <w:r w:rsidRPr="001D60A7">
        <w:rPr>
          <w:szCs w:val="24"/>
        </w:rPr>
        <w:t xml:space="preserve"> degree level by 2022.</w:t>
      </w:r>
    </w:p>
    <w:p w14:paraId="0DA0630E" w14:textId="77777777" w:rsidR="008D13CC" w:rsidRPr="001D60A7" w:rsidRDefault="008D13CC" w:rsidP="008D13CC">
      <w:pPr>
        <w:pStyle w:val="BodyText"/>
        <w:rPr>
          <w:szCs w:val="24"/>
        </w:rPr>
      </w:pPr>
    </w:p>
    <w:p w14:paraId="29DBFC15" w14:textId="195074FC" w:rsidR="006709B2" w:rsidRPr="004A00B2" w:rsidRDefault="008D13CC" w:rsidP="004A00B2">
      <w:pPr>
        <w:pStyle w:val="BodyText"/>
        <w:ind w:left="118" w:right="150"/>
        <w:rPr>
          <w:szCs w:val="24"/>
        </w:rPr>
      </w:pPr>
      <w:r w:rsidRPr="001D60A7">
        <w:rPr>
          <w:szCs w:val="24"/>
        </w:rPr>
        <w:t xml:space="preserve">Provost </w:t>
      </w:r>
      <w:proofErr w:type="spellStart"/>
      <w:r w:rsidRPr="001D60A7">
        <w:rPr>
          <w:szCs w:val="24"/>
        </w:rPr>
        <w:t>Traynham</w:t>
      </w:r>
      <w:proofErr w:type="spellEnd"/>
      <w:r w:rsidRPr="001D60A7">
        <w:rPr>
          <w:szCs w:val="24"/>
        </w:rPr>
        <w:t xml:space="preserve"> and Dean Chally provided background on the new degree program which is really the required degree in the field. The program proposal has already undergone a rigorous review and the program expects between 30-35 students in each cohort. The GRE is a required entrance exam.</w:t>
      </w:r>
    </w:p>
    <w:p w14:paraId="49C98F06" w14:textId="2F4B2D14" w:rsidR="006709B2" w:rsidRDefault="006709B2" w:rsidP="006709B2">
      <w:pPr>
        <w:ind w:left="477"/>
      </w:pPr>
    </w:p>
    <w:p w14:paraId="7CB8A4F7" w14:textId="18C5A9E7" w:rsidR="00285F5A" w:rsidRPr="00BB2DD2" w:rsidRDefault="00285F5A" w:rsidP="00285F5A">
      <w:pPr>
        <w:ind w:left="180"/>
      </w:pPr>
      <w:r w:rsidRPr="00BB2DD2">
        <w:t xml:space="preserve">Trustee Wamble-King made a motion to approve the </w:t>
      </w:r>
      <w:proofErr w:type="gramStart"/>
      <w:r w:rsidRPr="00BB2DD2">
        <w:t xml:space="preserve">Masters in </w:t>
      </w:r>
      <w:r>
        <w:t>A</w:t>
      </w:r>
      <w:r w:rsidRPr="00BB2DD2">
        <w:t>thletic Training</w:t>
      </w:r>
      <w:proofErr w:type="gramEnd"/>
      <w:r w:rsidRPr="00BB2DD2">
        <w:t xml:space="preserve"> and </w:t>
      </w:r>
      <w:r w:rsidRPr="00BB2DD2">
        <w:lastRenderedPageBreak/>
        <w:t>the motion was seconded by Trustee McElroy. The motion was approved unanimously.</w:t>
      </w:r>
    </w:p>
    <w:p w14:paraId="74F0DFC6" w14:textId="77777777" w:rsidR="008D13CC" w:rsidRPr="001D60A7" w:rsidRDefault="008D13CC" w:rsidP="008D13CC">
      <w:pPr>
        <w:pStyle w:val="BodyText"/>
        <w:rPr>
          <w:b/>
          <w:szCs w:val="24"/>
        </w:rPr>
      </w:pPr>
    </w:p>
    <w:p w14:paraId="57C59E0C" w14:textId="77777777" w:rsidR="008D13CC" w:rsidRPr="006709B2" w:rsidRDefault="008D13CC" w:rsidP="006709B2">
      <w:pPr>
        <w:pStyle w:val="Heading2"/>
      </w:pPr>
      <w:r w:rsidRPr="006709B2">
        <w:t>Item 5: Tenure and Promotion through the Standard Review Process</w:t>
      </w:r>
    </w:p>
    <w:p w14:paraId="534D1A95" w14:textId="77777777" w:rsidR="008D13CC" w:rsidRPr="001D60A7" w:rsidRDefault="008D13CC" w:rsidP="008D13CC">
      <w:pPr>
        <w:pStyle w:val="BodyText"/>
        <w:rPr>
          <w:b/>
          <w:szCs w:val="24"/>
        </w:rPr>
      </w:pPr>
    </w:p>
    <w:p w14:paraId="5001B95E" w14:textId="77777777" w:rsidR="008D13CC" w:rsidRPr="001D60A7" w:rsidRDefault="008D13CC" w:rsidP="008D13CC">
      <w:pPr>
        <w:pStyle w:val="BodyText"/>
        <w:ind w:left="118" w:right="107"/>
        <w:rPr>
          <w:szCs w:val="24"/>
        </w:rPr>
      </w:pPr>
      <w:r w:rsidRPr="001D60A7">
        <w:rPr>
          <w:szCs w:val="24"/>
        </w:rPr>
        <w:t xml:space="preserve">Provost </w:t>
      </w:r>
      <w:proofErr w:type="spellStart"/>
      <w:r w:rsidRPr="001D60A7">
        <w:rPr>
          <w:szCs w:val="24"/>
        </w:rPr>
        <w:t>Traynham</w:t>
      </w:r>
      <w:proofErr w:type="spellEnd"/>
      <w:r w:rsidRPr="001D60A7">
        <w:rPr>
          <w:szCs w:val="24"/>
        </w:rPr>
        <w:t xml:space="preserve"> presented the list of tenure candidates for university faculty. Twenty-six candidates are being recommended for tenure. In addition to departmental, chair, and dean review, the President, Provost, and University Promotion and Tenure Committee reviewed these nominees and made a recommendation for approval to the full Board.</w:t>
      </w:r>
    </w:p>
    <w:p w14:paraId="6D3132EC" w14:textId="77777777" w:rsidR="008D13CC" w:rsidRPr="001D60A7" w:rsidRDefault="008D13CC" w:rsidP="008D13CC">
      <w:pPr>
        <w:pStyle w:val="BodyText"/>
        <w:rPr>
          <w:szCs w:val="24"/>
        </w:rPr>
      </w:pPr>
    </w:p>
    <w:p w14:paraId="137B7788" w14:textId="77777777" w:rsidR="008D13CC" w:rsidRPr="001D60A7" w:rsidRDefault="008D13CC" w:rsidP="008D13CC">
      <w:pPr>
        <w:pStyle w:val="BodyText"/>
        <w:ind w:left="118" w:right="107"/>
        <w:rPr>
          <w:szCs w:val="24"/>
        </w:rPr>
      </w:pPr>
      <w:r w:rsidRPr="001D60A7">
        <w:rPr>
          <w:szCs w:val="24"/>
        </w:rPr>
        <w:t xml:space="preserve">The Provost was asked to speak about tenure more broadly as it relates to the national debate about tenure. Provost </w:t>
      </w:r>
      <w:proofErr w:type="spellStart"/>
      <w:r w:rsidRPr="001D60A7">
        <w:rPr>
          <w:szCs w:val="24"/>
        </w:rPr>
        <w:t>Traynham</w:t>
      </w:r>
      <w:proofErr w:type="spellEnd"/>
      <w:r w:rsidRPr="001D60A7">
        <w:rPr>
          <w:szCs w:val="24"/>
        </w:rPr>
        <w:t xml:space="preserve"> noted the importance of tenure for faculty in terms of research productivity and for issues of academic freedom. President Delaney likened tenure to a partnership in a law firm and that UNF applies scrutiny when reviewing candidates’ records. On average we usually deny tenure to only one or two faculty however we recruit a high caliber of faculty who we expect to achieve tenure</w:t>
      </w:r>
    </w:p>
    <w:p w14:paraId="02A55030" w14:textId="77777777" w:rsidR="008D13CC" w:rsidRPr="001D60A7" w:rsidRDefault="008D13CC" w:rsidP="008D13CC">
      <w:pPr>
        <w:pStyle w:val="BodyText"/>
        <w:ind w:left="119" w:right="198"/>
        <w:rPr>
          <w:szCs w:val="24"/>
        </w:rPr>
      </w:pPr>
      <w:r w:rsidRPr="001D60A7">
        <w:rPr>
          <w:szCs w:val="24"/>
        </w:rPr>
        <w:t xml:space="preserve">during their career at UNF. If necessary, we are still able to terminate a faculty member for cause. The President described the university-wide committee as the most objective review and Tom </w:t>
      </w:r>
      <w:proofErr w:type="spellStart"/>
      <w:r w:rsidRPr="001D60A7">
        <w:rPr>
          <w:szCs w:val="24"/>
        </w:rPr>
        <w:t>Serwatka</w:t>
      </w:r>
      <w:proofErr w:type="spellEnd"/>
      <w:r w:rsidRPr="001D60A7">
        <w:rPr>
          <w:szCs w:val="24"/>
        </w:rPr>
        <w:t xml:space="preserve"> noted we also have a 3-rd year review so that faculty will know </w:t>
      </w:r>
      <w:proofErr w:type="gramStart"/>
      <w:r w:rsidRPr="001D60A7">
        <w:rPr>
          <w:szCs w:val="24"/>
        </w:rPr>
        <w:t>early on in the</w:t>
      </w:r>
      <w:proofErr w:type="gramEnd"/>
      <w:r w:rsidRPr="001D60A7">
        <w:rPr>
          <w:szCs w:val="24"/>
        </w:rPr>
        <w:t xml:space="preserve"> process if they are at risk for not achieving tenure. Promotion to associate is typically achieved at the same time as tenure and the cost for promotion (12.5%) usually runs about $500,000/year. There was discussion on the quality and quantity of faculty scholarship and how different disciplines have different expectations.</w:t>
      </w:r>
    </w:p>
    <w:p w14:paraId="1B01E242" w14:textId="77777777" w:rsidR="008D13CC" w:rsidRPr="001D60A7" w:rsidRDefault="008D13CC" w:rsidP="008D13CC">
      <w:pPr>
        <w:pStyle w:val="BodyText"/>
        <w:rPr>
          <w:szCs w:val="24"/>
        </w:rPr>
      </w:pPr>
    </w:p>
    <w:p w14:paraId="3251C6E3" w14:textId="77777777" w:rsidR="008D13CC" w:rsidRPr="008E7CB1" w:rsidRDefault="008D13CC" w:rsidP="008E7CB1">
      <w:pPr>
        <w:ind w:left="180"/>
        <w:rPr>
          <w:szCs w:val="24"/>
        </w:rPr>
      </w:pPr>
      <w:r w:rsidRPr="008E7CB1">
        <w:rPr>
          <w:szCs w:val="24"/>
        </w:rPr>
        <w:t xml:space="preserve">Trustee McElroy made a motion to approve the 26 candidates for tenure; Trustee </w:t>
      </w:r>
      <w:proofErr w:type="spellStart"/>
      <w:r w:rsidRPr="008E7CB1">
        <w:rPr>
          <w:szCs w:val="24"/>
        </w:rPr>
        <w:t>Wamble</w:t>
      </w:r>
      <w:proofErr w:type="spellEnd"/>
      <w:r w:rsidRPr="008E7CB1">
        <w:rPr>
          <w:szCs w:val="24"/>
        </w:rPr>
        <w:t>- King seconded the motion. Motion was passed unanimously.</w:t>
      </w:r>
    </w:p>
    <w:p w14:paraId="1A7C0D0B" w14:textId="77777777" w:rsidR="006709B2" w:rsidRDefault="006709B2" w:rsidP="004A00B2">
      <w:pPr>
        <w:pStyle w:val="NoSpacing"/>
      </w:pPr>
    </w:p>
    <w:p w14:paraId="0647B2D5" w14:textId="0319400C" w:rsidR="008D13CC" w:rsidRPr="006709B2" w:rsidRDefault="008D13CC" w:rsidP="006709B2">
      <w:pPr>
        <w:pStyle w:val="Heading2"/>
      </w:pPr>
      <w:r w:rsidRPr="006709B2">
        <w:t xml:space="preserve">Item 6: Tenure </w:t>
      </w:r>
      <w:proofErr w:type="gramStart"/>
      <w:r w:rsidRPr="006709B2">
        <w:t>By</w:t>
      </w:r>
      <w:proofErr w:type="gramEnd"/>
      <w:r w:rsidRPr="006709B2">
        <w:t xml:space="preserve"> Reason Of Appointment</w:t>
      </w:r>
    </w:p>
    <w:p w14:paraId="07A449FB" w14:textId="77777777" w:rsidR="008D13CC" w:rsidRPr="001D60A7" w:rsidRDefault="008D13CC" w:rsidP="008D13CC">
      <w:pPr>
        <w:pStyle w:val="BodyText"/>
        <w:rPr>
          <w:b/>
          <w:szCs w:val="24"/>
        </w:rPr>
      </w:pPr>
    </w:p>
    <w:p w14:paraId="44B6E94A" w14:textId="77777777" w:rsidR="008D13CC" w:rsidRPr="001D60A7" w:rsidRDefault="008D13CC" w:rsidP="008D13CC">
      <w:pPr>
        <w:pStyle w:val="BodyText"/>
        <w:ind w:left="119" w:right="150"/>
        <w:rPr>
          <w:szCs w:val="24"/>
        </w:rPr>
      </w:pPr>
      <w:r w:rsidRPr="001D60A7">
        <w:rPr>
          <w:szCs w:val="24"/>
        </w:rPr>
        <w:t xml:space="preserve">Provost </w:t>
      </w:r>
      <w:proofErr w:type="spellStart"/>
      <w:r w:rsidRPr="001D60A7">
        <w:rPr>
          <w:szCs w:val="24"/>
        </w:rPr>
        <w:t>Traynham</w:t>
      </w:r>
      <w:proofErr w:type="spellEnd"/>
      <w:r w:rsidRPr="001D60A7">
        <w:rPr>
          <w:szCs w:val="24"/>
        </w:rPr>
        <w:t xml:space="preserve"> introduced the tenure candidacy of Dr. Curt Lox who was recently offered the position of Dean, Brooks College of Health. UNF is undergoing three dean searches and </w:t>
      </w:r>
      <w:proofErr w:type="gramStart"/>
      <w:r w:rsidRPr="001D60A7">
        <w:rPr>
          <w:szCs w:val="24"/>
        </w:rPr>
        <w:t>in order to</w:t>
      </w:r>
      <w:proofErr w:type="gramEnd"/>
      <w:r w:rsidRPr="001D60A7">
        <w:rPr>
          <w:szCs w:val="24"/>
        </w:rPr>
        <w:t xml:space="preserve"> successfully fill these vacancies, candidates are expected to also hold tenure in the department of their disciplinary background. Dr. </w:t>
      </w:r>
      <w:r w:rsidRPr="001D60A7">
        <w:rPr>
          <w:szCs w:val="24"/>
        </w:rPr>
        <w:lastRenderedPageBreak/>
        <w:t>Lox’s curriculum vitae demonstrates his qualifications to be tenured at the rank of full professor. His tenure nomination was supported by the faculty in his home department (Clinical and Applied Movement Sciences).</w:t>
      </w:r>
    </w:p>
    <w:p w14:paraId="3820A42F" w14:textId="77777777" w:rsidR="008D13CC" w:rsidRPr="001D60A7" w:rsidRDefault="008D13CC" w:rsidP="008D13CC">
      <w:pPr>
        <w:pStyle w:val="BodyText"/>
        <w:rPr>
          <w:szCs w:val="24"/>
        </w:rPr>
      </w:pPr>
    </w:p>
    <w:p w14:paraId="574772EB" w14:textId="28100276" w:rsidR="008D13CC" w:rsidRPr="0086034A" w:rsidRDefault="008D13CC" w:rsidP="0086034A">
      <w:pPr>
        <w:ind w:left="180"/>
        <w:rPr>
          <w:szCs w:val="24"/>
        </w:rPr>
      </w:pPr>
      <w:r w:rsidRPr="0086034A">
        <w:rPr>
          <w:szCs w:val="24"/>
        </w:rPr>
        <w:t xml:space="preserve">Trustee Pyati made a motion to approve the tenure for incoming Dean Curt Lox; Trustee Wamble-King seconded the motion. </w:t>
      </w:r>
      <w:r w:rsidR="0086034A" w:rsidRPr="0086034A">
        <w:rPr>
          <w:szCs w:val="24"/>
        </w:rPr>
        <w:t>The m</w:t>
      </w:r>
      <w:r w:rsidRPr="0086034A">
        <w:rPr>
          <w:szCs w:val="24"/>
        </w:rPr>
        <w:t>otion was passed unanimously</w:t>
      </w:r>
      <w:r w:rsidR="0086034A" w:rsidRPr="0086034A">
        <w:rPr>
          <w:szCs w:val="24"/>
        </w:rPr>
        <w:t>.</w:t>
      </w:r>
    </w:p>
    <w:p w14:paraId="6B108506" w14:textId="77777777" w:rsidR="008D13CC" w:rsidRPr="001D60A7" w:rsidRDefault="008D13CC" w:rsidP="008D13CC">
      <w:pPr>
        <w:pStyle w:val="BodyText"/>
        <w:rPr>
          <w:b/>
          <w:szCs w:val="24"/>
        </w:rPr>
      </w:pPr>
    </w:p>
    <w:p w14:paraId="73CC2758" w14:textId="77777777" w:rsidR="008D13CC" w:rsidRPr="006709B2" w:rsidRDefault="008D13CC" w:rsidP="006709B2">
      <w:pPr>
        <w:pStyle w:val="Heading2"/>
      </w:pPr>
      <w:r w:rsidRPr="006709B2">
        <w:t>Item 7: 2015-16 Accountability Report</w:t>
      </w:r>
    </w:p>
    <w:p w14:paraId="7A0E5805" w14:textId="77777777" w:rsidR="008D13CC" w:rsidRPr="001D60A7" w:rsidRDefault="008D13CC" w:rsidP="008D13CC">
      <w:pPr>
        <w:pStyle w:val="BodyText"/>
        <w:rPr>
          <w:b/>
          <w:szCs w:val="24"/>
        </w:rPr>
      </w:pPr>
    </w:p>
    <w:p w14:paraId="1353BE2A" w14:textId="77777777" w:rsidR="008D13CC" w:rsidRPr="001D60A7" w:rsidRDefault="008D13CC" w:rsidP="008D13CC">
      <w:pPr>
        <w:pStyle w:val="BodyText"/>
        <w:ind w:left="120" w:right="91"/>
        <w:rPr>
          <w:szCs w:val="24"/>
        </w:rPr>
      </w:pPr>
      <w:r w:rsidRPr="001D60A7">
        <w:rPr>
          <w:szCs w:val="24"/>
        </w:rPr>
        <w:t xml:space="preserve">Pursuant to Board of Governors regulation, each Board of Trustees is required to submit their university’s annual Accountability Report. Provost </w:t>
      </w:r>
      <w:proofErr w:type="spellStart"/>
      <w:r w:rsidRPr="001D60A7">
        <w:rPr>
          <w:szCs w:val="24"/>
        </w:rPr>
        <w:t>Traynham</w:t>
      </w:r>
      <w:proofErr w:type="spellEnd"/>
      <w:r w:rsidRPr="001D60A7">
        <w:rPr>
          <w:szCs w:val="24"/>
        </w:rPr>
        <w:t xml:space="preserve"> presented UNF’s 2015-16 Accountability Report. The Accountability Report focuses on the university’s performance in areas such as access, workforce readiness, building world-class academic programs and research capacity, and meeting institutional and community responsibilities. The report also includes goals and metrics approved as part of the Board of Governors’ Strategic Plan.</w:t>
      </w:r>
    </w:p>
    <w:p w14:paraId="0EB31EF6" w14:textId="77777777" w:rsidR="008D13CC" w:rsidRPr="001D60A7" w:rsidRDefault="008D13CC" w:rsidP="008D13CC">
      <w:pPr>
        <w:pStyle w:val="BodyText"/>
        <w:rPr>
          <w:szCs w:val="24"/>
        </w:rPr>
      </w:pPr>
    </w:p>
    <w:p w14:paraId="036AD638" w14:textId="17E4FDC1" w:rsidR="008D13CC" w:rsidRPr="001D60A7" w:rsidRDefault="008D13CC" w:rsidP="00075483">
      <w:pPr>
        <w:pStyle w:val="BodyText"/>
        <w:ind w:left="120" w:right="128"/>
        <w:rPr>
          <w:szCs w:val="24"/>
        </w:rPr>
      </w:pPr>
      <w:r w:rsidRPr="001D60A7">
        <w:rPr>
          <w:szCs w:val="24"/>
        </w:rPr>
        <w:t xml:space="preserve">A question was asked about the use of this report and Provost </w:t>
      </w:r>
      <w:proofErr w:type="spellStart"/>
      <w:r w:rsidRPr="001D60A7">
        <w:rPr>
          <w:szCs w:val="24"/>
        </w:rPr>
        <w:t>Traynham</w:t>
      </w:r>
      <w:proofErr w:type="spellEnd"/>
      <w:r w:rsidRPr="001D60A7">
        <w:rPr>
          <w:szCs w:val="24"/>
        </w:rPr>
        <w:t xml:space="preserve"> described the annual report as a check on how each institution is doing. President Delaney noted that the report is a broad overview of the institution and not simply a way to view the performance metrics. The Trustees were also updated on the Community Engaged Institution recognition that we have and what that specifically means for UNF’s standing.  It was recommended that we invite Marnie Jones, Director of the Center for Community Based Learning to an upcoming meeting to spend time discussing CCBL with the</w:t>
      </w:r>
      <w:r w:rsidRPr="001D60A7">
        <w:rPr>
          <w:spacing w:val="-27"/>
          <w:szCs w:val="24"/>
        </w:rPr>
        <w:t xml:space="preserve"> </w:t>
      </w:r>
      <w:r w:rsidRPr="001D60A7">
        <w:rPr>
          <w:szCs w:val="24"/>
        </w:rPr>
        <w:t>Trustees.</w:t>
      </w:r>
    </w:p>
    <w:p w14:paraId="4F49634B" w14:textId="77777777" w:rsidR="006709B2" w:rsidRDefault="008D13CC" w:rsidP="008D13CC">
      <w:pPr>
        <w:pStyle w:val="BodyText"/>
        <w:ind w:left="120" w:right="158"/>
        <w:rPr>
          <w:szCs w:val="24"/>
        </w:rPr>
      </w:pPr>
      <w:r w:rsidRPr="001D60A7">
        <w:rPr>
          <w:szCs w:val="24"/>
        </w:rPr>
        <w:t xml:space="preserve">Another question was raised regarding full-time versus part-time faculty and whether our percentage of part-time faculty compares with other regional </w:t>
      </w:r>
    </w:p>
    <w:p w14:paraId="34A8DA3E" w14:textId="4D732024" w:rsidR="008D13CC" w:rsidRPr="001D60A7" w:rsidRDefault="008D13CC" w:rsidP="008D13CC">
      <w:pPr>
        <w:pStyle w:val="BodyText"/>
        <w:ind w:left="120" w:right="158"/>
        <w:rPr>
          <w:szCs w:val="24"/>
        </w:rPr>
      </w:pPr>
      <w:r w:rsidRPr="001D60A7">
        <w:rPr>
          <w:szCs w:val="24"/>
        </w:rPr>
        <w:t xml:space="preserve">institutions. It was noted that we are </w:t>
      </w:r>
      <w:proofErr w:type="gramStart"/>
      <w:r w:rsidRPr="001D60A7">
        <w:rPr>
          <w:szCs w:val="24"/>
        </w:rPr>
        <w:t>similar to</w:t>
      </w:r>
      <w:proofErr w:type="gramEnd"/>
      <w:r w:rsidRPr="001D60A7">
        <w:rPr>
          <w:szCs w:val="24"/>
        </w:rPr>
        <w:t xml:space="preserve"> our peers in that regard. There was discussion about our diversity goals and whether our current diversity matches the Jacksonville area. The President pointed to a study done which indicated that UNF student population does reflect the general diversity in the nearby counties. </w:t>
      </w:r>
      <w:proofErr w:type="gramStart"/>
      <w:r w:rsidRPr="001D60A7">
        <w:rPr>
          <w:szCs w:val="24"/>
        </w:rPr>
        <w:t>However</w:t>
      </w:r>
      <w:proofErr w:type="gramEnd"/>
      <w:r w:rsidRPr="001D60A7">
        <w:rPr>
          <w:szCs w:val="24"/>
        </w:rPr>
        <w:t xml:space="preserve"> we could be doing more with faculty diversity and diversity in the administrative ranks. Other areas of the report where UNF does well include degree productivity and excess hours. There was also interest among Board members in R&amp;D and our employment rates and the percentage of our students who get jobs in the state along </w:t>
      </w:r>
      <w:r w:rsidRPr="001D60A7">
        <w:rPr>
          <w:szCs w:val="24"/>
        </w:rPr>
        <w:lastRenderedPageBreak/>
        <w:t>with the wages they receive are among the highest in the state. There was a discussion on declining transfer student enrollments and collaboration with local companies for student internships,</w:t>
      </w:r>
      <w:r w:rsidRPr="001D60A7">
        <w:rPr>
          <w:spacing w:val="-21"/>
          <w:szCs w:val="24"/>
        </w:rPr>
        <w:t xml:space="preserve"> </w:t>
      </w:r>
      <w:r w:rsidRPr="001D60A7">
        <w:rPr>
          <w:szCs w:val="24"/>
        </w:rPr>
        <w:t>job</w:t>
      </w:r>
    </w:p>
    <w:p w14:paraId="4CC94355" w14:textId="77777777" w:rsidR="008D13CC" w:rsidRPr="001D60A7" w:rsidRDefault="008D13CC" w:rsidP="008D13CC">
      <w:pPr>
        <w:pStyle w:val="BodyText"/>
        <w:ind w:left="120"/>
        <w:rPr>
          <w:szCs w:val="24"/>
        </w:rPr>
      </w:pPr>
      <w:r w:rsidRPr="001D60A7">
        <w:rPr>
          <w:szCs w:val="24"/>
        </w:rPr>
        <w:t xml:space="preserve">placement and faculty research. The Trustees requested information on Pell recipients by ethnic code. Provost </w:t>
      </w:r>
      <w:proofErr w:type="spellStart"/>
      <w:r w:rsidRPr="001D60A7">
        <w:rPr>
          <w:szCs w:val="24"/>
        </w:rPr>
        <w:t>Traynham</w:t>
      </w:r>
      <w:proofErr w:type="spellEnd"/>
      <w:r w:rsidRPr="001D60A7">
        <w:rPr>
          <w:szCs w:val="24"/>
        </w:rPr>
        <w:t xml:space="preserve"> will have that information at the next meeting.</w:t>
      </w:r>
    </w:p>
    <w:p w14:paraId="6028E04E" w14:textId="77777777" w:rsidR="008D13CC" w:rsidRPr="001D60A7" w:rsidRDefault="008D13CC" w:rsidP="008D13CC">
      <w:pPr>
        <w:pStyle w:val="BodyText"/>
        <w:rPr>
          <w:szCs w:val="24"/>
        </w:rPr>
      </w:pPr>
    </w:p>
    <w:p w14:paraId="1B31F4AB" w14:textId="1FB1AB1F" w:rsidR="008D13CC" w:rsidRPr="00C46A22" w:rsidRDefault="008D13CC" w:rsidP="00C46A22">
      <w:pPr>
        <w:ind w:left="180"/>
        <w:rPr>
          <w:szCs w:val="24"/>
        </w:rPr>
      </w:pPr>
      <w:r w:rsidRPr="00C46A22">
        <w:rPr>
          <w:szCs w:val="24"/>
        </w:rPr>
        <w:t xml:space="preserve">Trustee Korman made a motion to approve the 2015-16 Accountability Report and Trustee McElroy seconded the motion. </w:t>
      </w:r>
      <w:r w:rsidR="00C46A22" w:rsidRPr="00C46A22">
        <w:rPr>
          <w:szCs w:val="24"/>
        </w:rPr>
        <w:t>The m</w:t>
      </w:r>
      <w:r w:rsidRPr="00C46A22">
        <w:rPr>
          <w:szCs w:val="24"/>
        </w:rPr>
        <w:t>otion was passed unanimously</w:t>
      </w:r>
      <w:r w:rsidR="00C46A22" w:rsidRPr="00C46A22">
        <w:rPr>
          <w:szCs w:val="24"/>
        </w:rPr>
        <w:t>.</w:t>
      </w:r>
    </w:p>
    <w:p w14:paraId="6683FFE9" w14:textId="77777777" w:rsidR="008D13CC" w:rsidRPr="001D60A7" w:rsidRDefault="008D13CC" w:rsidP="008D13CC">
      <w:pPr>
        <w:pStyle w:val="BodyText"/>
        <w:rPr>
          <w:b/>
          <w:szCs w:val="24"/>
        </w:rPr>
      </w:pPr>
    </w:p>
    <w:p w14:paraId="70FD8BE5" w14:textId="77777777" w:rsidR="008D13CC" w:rsidRPr="006709B2" w:rsidRDefault="008D13CC" w:rsidP="006709B2">
      <w:pPr>
        <w:pStyle w:val="Heading2"/>
      </w:pPr>
      <w:r w:rsidRPr="006709B2">
        <w:t>Item 8: Renewal of Student Life and Service Fee</w:t>
      </w:r>
    </w:p>
    <w:p w14:paraId="49ECD2DE" w14:textId="77777777" w:rsidR="008D13CC" w:rsidRPr="001D60A7" w:rsidRDefault="008D13CC" w:rsidP="008D13CC">
      <w:pPr>
        <w:pStyle w:val="BodyText"/>
        <w:rPr>
          <w:b/>
          <w:szCs w:val="24"/>
        </w:rPr>
      </w:pPr>
    </w:p>
    <w:p w14:paraId="1D626019" w14:textId="77777777" w:rsidR="008D13CC" w:rsidRPr="001D60A7" w:rsidRDefault="008D13CC" w:rsidP="008D13CC">
      <w:pPr>
        <w:pStyle w:val="BodyText"/>
        <w:ind w:left="120" w:right="206"/>
        <w:rPr>
          <w:szCs w:val="24"/>
        </w:rPr>
      </w:pPr>
      <w:r w:rsidRPr="001D60A7">
        <w:rPr>
          <w:szCs w:val="24"/>
        </w:rPr>
        <w:t xml:space="preserve">Initiated by students, UNF’s Student Life and Service (SLS) Fee was approved by the Florida Board of Governors on March 11, 2011. Each five years, the UNF Board of Trustees is to review this fee and determine whether it is being used for its intended purpose and </w:t>
      </w:r>
      <w:proofErr w:type="gramStart"/>
      <w:r w:rsidRPr="001D60A7">
        <w:rPr>
          <w:szCs w:val="24"/>
        </w:rPr>
        <w:t>whether or not</w:t>
      </w:r>
      <w:proofErr w:type="gramEnd"/>
      <w:r w:rsidRPr="001D60A7">
        <w:rPr>
          <w:szCs w:val="24"/>
        </w:rPr>
        <w:t xml:space="preserve"> it should be continued.</w:t>
      </w:r>
    </w:p>
    <w:p w14:paraId="620D6391" w14:textId="77777777" w:rsidR="008D13CC" w:rsidRPr="001D60A7" w:rsidRDefault="008D13CC" w:rsidP="008D13CC">
      <w:pPr>
        <w:pStyle w:val="BodyText"/>
        <w:rPr>
          <w:szCs w:val="24"/>
        </w:rPr>
      </w:pPr>
    </w:p>
    <w:p w14:paraId="36B18C44" w14:textId="77777777" w:rsidR="008D13CC" w:rsidRPr="001D60A7" w:rsidRDefault="008D13CC" w:rsidP="008D13CC">
      <w:pPr>
        <w:pStyle w:val="BodyText"/>
        <w:ind w:left="119" w:right="113"/>
        <w:rPr>
          <w:szCs w:val="24"/>
        </w:rPr>
      </w:pPr>
      <w:r w:rsidRPr="001D60A7">
        <w:rPr>
          <w:szCs w:val="24"/>
        </w:rPr>
        <w:t>Dr. Lucy Croft from Student and International Affairs presented this item. The stated purpose of the SLS fee is to build and expand initiatives that enrich student life at the University of North Florida. The goal of the fee is to provide funding for a vibrant, engaging campus environment where students establish an affinity with the University and persist to graduation.</w:t>
      </w:r>
    </w:p>
    <w:p w14:paraId="545ED755" w14:textId="77777777" w:rsidR="008D13CC" w:rsidRPr="001D60A7" w:rsidRDefault="008D13CC" w:rsidP="008D13CC">
      <w:pPr>
        <w:pStyle w:val="BodyText"/>
        <w:rPr>
          <w:szCs w:val="24"/>
        </w:rPr>
      </w:pPr>
    </w:p>
    <w:p w14:paraId="707AE9AD" w14:textId="7FF5531F" w:rsidR="006709B2" w:rsidRDefault="008D13CC" w:rsidP="008D13CC">
      <w:pPr>
        <w:pStyle w:val="BodyText"/>
        <w:ind w:left="119" w:right="129"/>
        <w:rPr>
          <w:szCs w:val="24"/>
        </w:rPr>
      </w:pPr>
      <w:r w:rsidRPr="001D60A7">
        <w:rPr>
          <w:szCs w:val="24"/>
        </w:rPr>
        <w:t xml:space="preserve">The SLS Fee was also intended to expand student participation in transformational learning opportunities, to build new and enhance existing campus activities that </w:t>
      </w:r>
    </w:p>
    <w:p w14:paraId="5577AE6C" w14:textId="6F782D9E" w:rsidR="008D13CC" w:rsidRPr="001D60A7" w:rsidRDefault="008D13CC" w:rsidP="008D13CC">
      <w:pPr>
        <w:pStyle w:val="BodyText"/>
        <w:ind w:left="119" w:right="129"/>
        <w:rPr>
          <w:szCs w:val="24"/>
        </w:rPr>
      </w:pPr>
      <w:r w:rsidRPr="001D60A7">
        <w:rPr>
          <w:szCs w:val="24"/>
        </w:rPr>
        <w:t xml:space="preserve">connect students to UNF, and to fund needed personnel </w:t>
      </w:r>
      <w:proofErr w:type="gramStart"/>
      <w:r w:rsidRPr="001D60A7">
        <w:rPr>
          <w:szCs w:val="24"/>
        </w:rPr>
        <w:t>in the area of</w:t>
      </w:r>
      <w:proofErr w:type="gramEnd"/>
      <w:r w:rsidRPr="001D60A7">
        <w:rPr>
          <w:szCs w:val="24"/>
        </w:rPr>
        <w:t xml:space="preserve"> student life and support services. The fee also includes financial aid dollars to offset the cost of the fee for students with financial-need.</w:t>
      </w:r>
    </w:p>
    <w:p w14:paraId="6B6B3734" w14:textId="77777777" w:rsidR="008D13CC" w:rsidRPr="001D60A7" w:rsidRDefault="008D13CC" w:rsidP="008D13CC">
      <w:pPr>
        <w:pStyle w:val="BodyText"/>
        <w:rPr>
          <w:szCs w:val="24"/>
        </w:rPr>
      </w:pPr>
    </w:p>
    <w:p w14:paraId="0B31BB28" w14:textId="77777777" w:rsidR="008D13CC" w:rsidRPr="001D60A7" w:rsidRDefault="008D13CC" w:rsidP="008D13CC">
      <w:pPr>
        <w:pStyle w:val="BodyText"/>
        <w:ind w:left="119" w:right="188"/>
        <w:rPr>
          <w:szCs w:val="24"/>
        </w:rPr>
      </w:pPr>
      <w:r w:rsidRPr="001D60A7">
        <w:rPr>
          <w:szCs w:val="24"/>
        </w:rPr>
        <w:t>The presentation identified how the fee has contributed to specific areas aimed at enhancing activities and resources to our students including the establishment of the Student Life Center, Direct Services positions, Student Alliance and Diversity Clubs, expansion of Week of Welcome, SAILS Scholarships, and the Taylor Leadership Program.</w:t>
      </w:r>
    </w:p>
    <w:p w14:paraId="0DE5AB5A" w14:textId="77777777" w:rsidR="008D13CC" w:rsidRPr="001D60A7" w:rsidRDefault="008D13CC" w:rsidP="008D13CC">
      <w:pPr>
        <w:pStyle w:val="BodyText"/>
        <w:rPr>
          <w:szCs w:val="24"/>
        </w:rPr>
      </w:pPr>
    </w:p>
    <w:p w14:paraId="3EEB498D" w14:textId="77777777" w:rsidR="008D13CC" w:rsidRPr="001D60A7" w:rsidRDefault="008D13CC" w:rsidP="008D13CC">
      <w:pPr>
        <w:pStyle w:val="BodyText"/>
        <w:ind w:left="119" w:right="141"/>
        <w:rPr>
          <w:szCs w:val="24"/>
        </w:rPr>
      </w:pPr>
      <w:r w:rsidRPr="001D60A7">
        <w:rPr>
          <w:szCs w:val="24"/>
        </w:rPr>
        <w:t xml:space="preserve">There was considerable interest in knowing more about the SAILS scholarships and </w:t>
      </w:r>
      <w:r w:rsidRPr="001D60A7">
        <w:rPr>
          <w:szCs w:val="24"/>
        </w:rPr>
        <w:lastRenderedPageBreak/>
        <w:t xml:space="preserve">Tom </w:t>
      </w:r>
      <w:proofErr w:type="spellStart"/>
      <w:r w:rsidRPr="001D60A7">
        <w:rPr>
          <w:szCs w:val="24"/>
        </w:rPr>
        <w:t>Serwatka</w:t>
      </w:r>
      <w:proofErr w:type="spellEnd"/>
      <w:r w:rsidRPr="001D60A7">
        <w:rPr>
          <w:szCs w:val="24"/>
        </w:rPr>
        <w:t xml:space="preserve"> noted that students who participate in </w:t>
      </w:r>
      <w:proofErr w:type="gramStart"/>
      <w:r w:rsidRPr="001D60A7">
        <w:rPr>
          <w:szCs w:val="24"/>
        </w:rPr>
        <w:t>these study</w:t>
      </w:r>
      <w:proofErr w:type="gramEnd"/>
      <w:r w:rsidRPr="001D60A7">
        <w:rPr>
          <w:szCs w:val="24"/>
        </w:rPr>
        <w:t xml:space="preserve"> abroad trips retain and graduate at higher rates. The Student Life and Service Fee has resulted in about $2 million last year. The cost is $5.25 per credit hour and $300,000 go to SAILS scholarships. Bella </w:t>
      </w:r>
      <w:proofErr w:type="spellStart"/>
      <w:r w:rsidRPr="001D60A7">
        <w:rPr>
          <w:szCs w:val="24"/>
        </w:rPr>
        <w:t>Genta</w:t>
      </w:r>
      <w:proofErr w:type="spellEnd"/>
      <w:r w:rsidRPr="001D60A7">
        <w:rPr>
          <w:szCs w:val="24"/>
        </w:rPr>
        <w:t xml:space="preserve">, student body president, described the transformation in her own academic career </w:t>
      </w:r>
      <w:proofErr w:type="gramStart"/>
      <w:r w:rsidRPr="001D60A7">
        <w:rPr>
          <w:szCs w:val="24"/>
        </w:rPr>
        <w:t>as a result of</w:t>
      </w:r>
      <w:proofErr w:type="gramEnd"/>
      <w:r w:rsidRPr="001D60A7">
        <w:rPr>
          <w:szCs w:val="24"/>
        </w:rPr>
        <w:t xml:space="preserve"> her study abroad experiences. It was recommended that we consider approaching donors to increase SAILS scholarship funding.</w:t>
      </w:r>
    </w:p>
    <w:p w14:paraId="6371865B" w14:textId="77777777" w:rsidR="008D13CC" w:rsidRPr="001D60A7" w:rsidRDefault="008D13CC" w:rsidP="008D13CC">
      <w:pPr>
        <w:pStyle w:val="BodyText"/>
        <w:rPr>
          <w:szCs w:val="24"/>
        </w:rPr>
      </w:pPr>
    </w:p>
    <w:p w14:paraId="153C2CA0" w14:textId="77777777" w:rsidR="008D13CC" w:rsidRPr="001D60A7" w:rsidRDefault="008D13CC" w:rsidP="008D13CC">
      <w:pPr>
        <w:pStyle w:val="BodyText"/>
        <w:ind w:left="119"/>
        <w:rPr>
          <w:szCs w:val="24"/>
        </w:rPr>
      </w:pPr>
      <w:r w:rsidRPr="001D60A7">
        <w:rPr>
          <w:szCs w:val="24"/>
        </w:rPr>
        <w:t>The administration in concurrence with student leadership seeks approval of extending the fee at the same rate as when it was approved by the BOG. Upon approval, the UNF administration will notify the BOG of the approval to continue this student fee.</w:t>
      </w:r>
    </w:p>
    <w:p w14:paraId="4088A841" w14:textId="77777777" w:rsidR="008D13CC" w:rsidRPr="001D60A7" w:rsidRDefault="008D13CC" w:rsidP="008D13CC">
      <w:pPr>
        <w:pStyle w:val="BodyText"/>
        <w:rPr>
          <w:szCs w:val="24"/>
        </w:rPr>
      </w:pPr>
    </w:p>
    <w:p w14:paraId="55AB8CF2" w14:textId="7FC738CE" w:rsidR="008D13CC" w:rsidRPr="0079205E" w:rsidRDefault="008D13CC" w:rsidP="004A00B2">
      <w:pPr>
        <w:ind w:left="90"/>
        <w:rPr>
          <w:b/>
        </w:rPr>
      </w:pPr>
      <w:r w:rsidRPr="0079205E">
        <w:t>Trustee Hyde made a motion to approve the 2015-16 Accountability Report and Trustee McElroy seconded the motion. Motion was passed</w:t>
      </w:r>
      <w:r w:rsidRPr="0079205E">
        <w:rPr>
          <w:spacing w:val="-6"/>
        </w:rPr>
        <w:t xml:space="preserve"> </w:t>
      </w:r>
      <w:r w:rsidRPr="0079205E">
        <w:t>unanimously</w:t>
      </w:r>
      <w:r w:rsidR="0079205E" w:rsidRPr="0079205E">
        <w:t>.</w:t>
      </w:r>
    </w:p>
    <w:p w14:paraId="314AF6C2" w14:textId="4A2687F4" w:rsidR="008D13CC" w:rsidRPr="00F21DDB" w:rsidRDefault="001C2CB2" w:rsidP="001C2CB2">
      <w:pPr>
        <w:rPr>
          <w:szCs w:val="24"/>
        </w:rPr>
      </w:pPr>
      <w:r w:rsidRPr="00F21DDB">
        <w:rPr>
          <w:szCs w:val="24"/>
        </w:rPr>
        <w:t xml:space="preserve">  T</w:t>
      </w:r>
      <w:r w:rsidR="008D13CC" w:rsidRPr="00F21DDB">
        <w:rPr>
          <w:szCs w:val="24"/>
        </w:rPr>
        <w:t>here was a motion to adjourn; the motion was approved unanimously.</w:t>
      </w:r>
    </w:p>
    <w:p w14:paraId="04DAA13C" w14:textId="77777777" w:rsidR="006709B2" w:rsidRDefault="006709B2" w:rsidP="004A00B2">
      <w:pPr>
        <w:pStyle w:val="NoSpacing"/>
      </w:pPr>
    </w:p>
    <w:p w14:paraId="451496C8" w14:textId="52682E6C" w:rsidR="008D13CC" w:rsidRPr="006709B2" w:rsidRDefault="008D13CC" w:rsidP="00142878">
      <w:pPr>
        <w:pStyle w:val="Heading2"/>
        <w:ind w:left="0" w:firstLine="180"/>
      </w:pPr>
      <w:r w:rsidRPr="006709B2">
        <w:t xml:space="preserve">Item 9: Presentation by Professor Stephen </w:t>
      </w:r>
      <w:proofErr w:type="spellStart"/>
      <w:r w:rsidRPr="006709B2">
        <w:t>Stagon</w:t>
      </w:r>
      <w:proofErr w:type="spellEnd"/>
      <w:r w:rsidRPr="006709B2">
        <w:t>, Mechanical Engineering</w:t>
      </w:r>
    </w:p>
    <w:p w14:paraId="3B0A6377" w14:textId="12AB239E" w:rsidR="00F42090" w:rsidRDefault="008D13CC" w:rsidP="00142878">
      <w:pPr>
        <w:ind w:firstLine="180"/>
      </w:pPr>
      <w:r w:rsidRPr="001D60A7">
        <w:rPr>
          <w:szCs w:val="24"/>
        </w:rPr>
        <w:t>This was a presentation only for information purposes and no motion was necessar</w:t>
      </w:r>
      <w:r w:rsidR="00142878">
        <w:rPr>
          <w:szCs w:val="24"/>
        </w:rPr>
        <w:t>y.</w:t>
      </w:r>
    </w:p>
    <w:sectPr w:rsidR="00F4209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C657" w14:textId="77777777" w:rsidR="0021500A" w:rsidRDefault="0021500A" w:rsidP="006709B2">
      <w:r>
        <w:separator/>
      </w:r>
    </w:p>
  </w:endnote>
  <w:endnote w:type="continuationSeparator" w:id="0">
    <w:p w14:paraId="0A10909D" w14:textId="77777777" w:rsidR="0021500A" w:rsidRDefault="0021500A" w:rsidP="0067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E78D" w14:textId="77777777" w:rsidR="0021500A" w:rsidRDefault="0021500A" w:rsidP="006709B2">
      <w:r>
        <w:separator/>
      </w:r>
    </w:p>
  </w:footnote>
  <w:footnote w:type="continuationSeparator" w:id="0">
    <w:p w14:paraId="30BFE7AF" w14:textId="77777777" w:rsidR="0021500A" w:rsidRDefault="0021500A" w:rsidP="0067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8046" w14:textId="4C066B1D" w:rsidR="006709B2" w:rsidRDefault="006709B2" w:rsidP="006709B2">
    <w:pPr>
      <w:pStyle w:val="Header"/>
      <w:jc w:val="center"/>
    </w:pPr>
    <w:r>
      <w:rPr>
        <w:noProof/>
      </w:rPr>
      <w:drawing>
        <wp:inline distT="0" distB="0" distL="0" distR="0" wp14:anchorId="4E38E4A1" wp14:editId="5E9413C0">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D4811C0" w14:textId="4F15D969" w:rsidR="006709B2" w:rsidRDefault="006709B2" w:rsidP="006709B2">
    <w:pPr>
      <w:pStyle w:val="Header"/>
      <w:jc w:val="center"/>
    </w:pPr>
  </w:p>
  <w:p w14:paraId="55849AE5" w14:textId="082D4CF7" w:rsidR="006709B2" w:rsidRPr="006709B2" w:rsidRDefault="006709B2" w:rsidP="006709B2">
    <w:pPr>
      <w:pStyle w:val="Heading2"/>
      <w:jc w:val="center"/>
      <w:rPr>
        <w:b w:val="0"/>
        <w:bCs w:val="0"/>
      </w:rPr>
    </w:pPr>
    <w:r w:rsidRPr="006709B2">
      <w:rPr>
        <w:b w:val="0"/>
        <w:bCs w:val="0"/>
      </w:rPr>
      <w:t>University of North Florida</w:t>
    </w:r>
  </w:p>
  <w:p w14:paraId="5B372EC9" w14:textId="4CEE5C6C" w:rsidR="006709B2" w:rsidRPr="006709B2" w:rsidRDefault="006709B2" w:rsidP="006709B2">
    <w:pPr>
      <w:pStyle w:val="Heading2"/>
      <w:jc w:val="center"/>
      <w:rPr>
        <w:b w:val="0"/>
        <w:bCs w:val="0"/>
      </w:rPr>
    </w:pPr>
    <w:r w:rsidRPr="006709B2">
      <w:rPr>
        <w:b w:val="0"/>
        <w:bCs w:val="0"/>
      </w:rPr>
      <w:t>Board of Trustees</w:t>
    </w:r>
  </w:p>
  <w:p w14:paraId="6F0ACEED" w14:textId="49C1E30A" w:rsidR="006709B2" w:rsidRPr="006709B2" w:rsidRDefault="006709B2" w:rsidP="006709B2">
    <w:pPr>
      <w:pStyle w:val="Heading2"/>
      <w:jc w:val="center"/>
      <w:rPr>
        <w:b w:val="0"/>
        <w:bCs w:val="0"/>
      </w:rPr>
    </w:pPr>
    <w:r w:rsidRPr="006709B2">
      <w:rPr>
        <w:b w:val="0"/>
        <w:bCs w:val="0"/>
      </w:rPr>
      <w:t>Academic and Student Affairs Committee</w:t>
    </w:r>
  </w:p>
  <w:p w14:paraId="0CB1483F" w14:textId="2E2FCC94" w:rsidR="006709B2" w:rsidRPr="006709B2" w:rsidRDefault="006709B2" w:rsidP="006709B2">
    <w:pPr>
      <w:pStyle w:val="Heading2"/>
      <w:jc w:val="center"/>
      <w:rPr>
        <w:b w:val="0"/>
        <w:bCs w:val="0"/>
      </w:rPr>
    </w:pPr>
    <w:r w:rsidRPr="006709B2">
      <w:rPr>
        <w:b w:val="0"/>
        <w:bCs w:val="0"/>
      </w:rPr>
      <w:t>Meeting March 14, 2017</w:t>
    </w:r>
  </w:p>
  <w:p w14:paraId="14427B65" w14:textId="77777777" w:rsidR="006709B2" w:rsidRDefault="006709B2" w:rsidP="006709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D53"/>
    <w:multiLevelType w:val="hybridMultilevel"/>
    <w:tmpl w:val="536A5D1E"/>
    <w:lvl w:ilvl="0" w:tplc="48149324">
      <w:start w:val="20"/>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C110FF2"/>
    <w:multiLevelType w:val="hybridMultilevel"/>
    <w:tmpl w:val="FF94721A"/>
    <w:lvl w:ilvl="0" w:tplc="CA8E39C6">
      <w:numFmt w:val="bullet"/>
      <w:pStyle w:val="ListParagraph"/>
      <w:lvlText w:val=""/>
      <w:lvlJc w:val="left"/>
      <w:pPr>
        <w:ind w:left="838" w:hanging="361"/>
      </w:pPr>
      <w:rPr>
        <w:rFonts w:ascii="Wingdings" w:eastAsia="Wingdings" w:hAnsi="Wingdings" w:cs="Wingdings" w:hint="default"/>
        <w:w w:val="100"/>
        <w:sz w:val="22"/>
        <w:szCs w:val="22"/>
        <w:lang w:val="en-US" w:eastAsia="en-US" w:bidi="en-US"/>
      </w:rPr>
    </w:lvl>
    <w:lvl w:ilvl="1" w:tplc="9ABA569E">
      <w:numFmt w:val="bullet"/>
      <w:lvlText w:val="•"/>
      <w:lvlJc w:val="left"/>
      <w:pPr>
        <w:ind w:left="1714" w:hanging="361"/>
      </w:pPr>
      <w:rPr>
        <w:rFonts w:hint="default"/>
        <w:lang w:val="en-US" w:eastAsia="en-US" w:bidi="en-US"/>
      </w:rPr>
    </w:lvl>
    <w:lvl w:ilvl="2" w:tplc="7E1C6F3C">
      <w:numFmt w:val="bullet"/>
      <w:lvlText w:val="•"/>
      <w:lvlJc w:val="left"/>
      <w:pPr>
        <w:ind w:left="2588" w:hanging="361"/>
      </w:pPr>
      <w:rPr>
        <w:rFonts w:hint="default"/>
        <w:lang w:val="en-US" w:eastAsia="en-US" w:bidi="en-US"/>
      </w:rPr>
    </w:lvl>
    <w:lvl w:ilvl="3" w:tplc="ECC4E49C">
      <w:numFmt w:val="bullet"/>
      <w:lvlText w:val="•"/>
      <w:lvlJc w:val="left"/>
      <w:pPr>
        <w:ind w:left="3462" w:hanging="361"/>
      </w:pPr>
      <w:rPr>
        <w:rFonts w:hint="default"/>
        <w:lang w:val="en-US" w:eastAsia="en-US" w:bidi="en-US"/>
      </w:rPr>
    </w:lvl>
    <w:lvl w:ilvl="4" w:tplc="B170B5CA">
      <w:numFmt w:val="bullet"/>
      <w:lvlText w:val="•"/>
      <w:lvlJc w:val="left"/>
      <w:pPr>
        <w:ind w:left="4336" w:hanging="361"/>
      </w:pPr>
      <w:rPr>
        <w:rFonts w:hint="default"/>
        <w:lang w:val="en-US" w:eastAsia="en-US" w:bidi="en-US"/>
      </w:rPr>
    </w:lvl>
    <w:lvl w:ilvl="5" w:tplc="90F0E956">
      <w:numFmt w:val="bullet"/>
      <w:lvlText w:val="•"/>
      <w:lvlJc w:val="left"/>
      <w:pPr>
        <w:ind w:left="5210" w:hanging="361"/>
      </w:pPr>
      <w:rPr>
        <w:rFonts w:hint="default"/>
        <w:lang w:val="en-US" w:eastAsia="en-US" w:bidi="en-US"/>
      </w:rPr>
    </w:lvl>
    <w:lvl w:ilvl="6" w:tplc="4844C7F4">
      <w:numFmt w:val="bullet"/>
      <w:lvlText w:val="•"/>
      <w:lvlJc w:val="left"/>
      <w:pPr>
        <w:ind w:left="6084" w:hanging="361"/>
      </w:pPr>
      <w:rPr>
        <w:rFonts w:hint="default"/>
        <w:lang w:val="en-US" w:eastAsia="en-US" w:bidi="en-US"/>
      </w:rPr>
    </w:lvl>
    <w:lvl w:ilvl="7" w:tplc="5CFEED00">
      <w:numFmt w:val="bullet"/>
      <w:lvlText w:val="•"/>
      <w:lvlJc w:val="left"/>
      <w:pPr>
        <w:ind w:left="6958" w:hanging="361"/>
      </w:pPr>
      <w:rPr>
        <w:rFonts w:hint="default"/>
        <w:lang w:val="en-US" w:eastAsia="en-US" w:bidi="en-US"/>
      </w:rPr>
    </w:lvl>
    <w:lvl w:ilvl="8" w:tplc="CC4E5CC4">
      <w:numFmt w:val="bullet"/>
      <w:lvlText w:val="•"/>
      <w:lvlJc w:val="left"/>
      <w:pPr>
        <w:ind w:left="7832"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CC"/>
    <w:rsid w:val="00075483"/>
    <w:rsid w:val="00142878"/>
    <w:rsid w:val="001C2CB2"/>
    <w:rsid w:val="00211EDC"/>
    <w:rsid w:val="0021500A"/>
    <w:rsid w:val="00285F5A"/>
    <w:rsid w:val="00347EC6"/>
    <w:rsid w:val="0035423D"/>
    <w:rsid w:val="00406A7F"/>
    <w:rsid w:val="004A00B2"/>
    <w:rsid w:val="00617626"/>
    <w:rsid w:val="006709B2"/>
    <w:rsid w:val="0079205E"/>
    <w:rsid w:val="0086034A"/>
    <w:rsid w:val="008D13CC"/>
    <w:rsid w:val="008E7CB1"/>
    <w:rsid w:val="00AF6200"/>
    <w:rsid w:val="00BB2DD2"/>
    <w:rsid w:val="00C46A22"/>
    <w:rsid w:val="00D74B46"/>
    <w:rsid w:val="00F21DDB"/>
    <w:rsid w:val="00F42090"/>
    <w:rsid w:val="00FD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B02E4"/>
  <w15:chartTrackingRefBased/>
  <w15:docId w15:val="{C8866364-CD0D-4CF4-A1E0-8AE92416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B2"/>
    <w:pPr>
      <w:widowControl w:val="0"/>
      <w:autoSpaceDE w:val="0"/>
      <w:autoSpaceDN w:val="0"/>
      <w:spacing w:after="0" w:line="240" w:lineRule="auto"/>
    </w:pPr>
    <w:rPr>
      <w:rFonts w:ascii="Book Antiqua" w:eastAsia="Calibri" w:hAnsi="Book Antiqua" w:cs="Calibri"/>
      <w:sz w:val="24"/>
      <w:lang w:bidi="en-US"/>
    </w:rPr>
  </w:style>
  <w:style w:type="paragraph" w:styleId="Heading1">
    <w:name w:val="heading 1"/>
    <w:basedOn w:val="Normal"/>
    <w:link w:val="Heading1Char"/>
    <w:uiPriority w:val="9"/>
    <w:qFormat/>
    <w:rsid w:val="008D13CC"/>
    <w:pPr>
      <w:ind w:left="119"/>
      <w:outlineLvl w:val="0"/>
    </w:pPr>
    <w:rPr>
      <w:b/>
      <w:bCs/>
    </w:rPr>
  </w:style>
  <w:style w:type="paragraph" w:styleId="Heading2">
    <w:name w:val="heading 2"/>
    <w:basedOn w:val="Heading3"/>
    <w:next w:val="Normal"/>
    <w:link w:val="Heading2Char"/>
    <w:uiPriority w:val="9"/>
    <w:unhideWhenUsed/>
    <w:qFormat/>
    <w:rsid w:val="006709B2"/>
    <w:pPr>
      <w:outlineLvl w:val="1"/>
    </w:pPr>
  </w:style>
  <w:style w:type="paragraph" w:styleId="Heading3">
    <w:name w:val="heading 3"/>
    <w:basedOn w:val="Heading1"/>
    <w:next w:val="Normal"/>
    <w:link w:val="Heading3Char"/>
    <w:uiPriority w:val="9"/>
    <w:unhideWhenUsed/>
    <w:qFormat/>
    <w:rsid w:val="008D13CC"/>
    <w:p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3CC"/>
    <w:rPr>
      <w:rFonts w:ascii="Calibri" w:eastAsia="Calibri" w:hAnsi="Calibri" w:cs="Calibri"/>
      <w:b/>
      <w:bCs/>
      <w:lang w:bidi="en-US"/>
    </w:rPr>
  </w:style>
  <w:style w:type="character" w:customStyle="1" w:styleId="Heading2Char">
    <w:name w:val="Heading 2 Char"/>
    <w:basedOn w:val="DefaultParagraphFont"/>
    <w:link w:val="Heading2"/>
    <w:uiPriority w:val="9"/>
    <w:rsid w:val="006709B2"/>
    <w:rPr>
      <w:rFonts w:ascii="Book Antiqua" w:eastAsia="Calibri" w:hAnsi="Book Antiqua" w:cs="Calibri"/>
      <w:b/>
      <w:bCs/>
      <w:sz w:val="24"/>
      <w:szCs w:val="24"/>
      <w:lang w:bidi="en-US"/>
    </w:rPr>
  </w:style>
  <w:style w:type="character" w:customStyle="1" w:styleId="Heading3Char">
    <w:name w:val="Heading 3 Char"/>
    <w:basedOn w:val="DefaultParagraphFont"/>
    <w:link w:val="Heading3"/>
    <w:uiPriority w:val="9"/>
    <w:rsid w:val="008D13CC"/>
    <w:rPr>
      <w:rFonts w:ascii="Book Antiqua" w:eastAsia="Calibri" w:hAnsi="Book Antiqua" w:cs="Calibri"/>
      <w:b/>
      <w:bCs/>
      <w:sz w:val="24"/>
      <w:szCs w:val="24"/>
      <w:lang w:bidi="en-US"/>
    </w:rPr>
  </w:style>
  <w:style w:type="paragraph" w:styleId="BodyText">
    <w:name w:val="Body Text"/>
    <w:basedOn w:val="Normal"/>
    <w:link w:val="BodyTextChar"/>
    <w:uiPriority w:val="1"/>
    <w:qFormat/>
    <w:rsid w:val="008D13CC"/>
  </w:style>
  <w:style w:type="character" w:customStyle="1" w:styleId="BodyTextChar">
    <w:name w:val="Body Text Char"/>
    <w:basedOn w:val="DefaultParagraphFont"/>
    <w:link w:val="BodyText"/>
    <w:uiPriority w:val="1"/>
    <w:rsid w:val="008D13CC"/>
    <w:rPr>
      <w:rFonts w:ascii="Calibri" w:eastAsia="Calibri" w:hAnsi="Calibri" w:cs="Calibri"/>
      <w:lang w:bidi="en-US"/>
    </w:rPr>
  </w:style>
  <w:style w:type="paragraph" w:styleId="ListParagraph">
    <w:name w:val="List Paragraph"/>
    <w:basedOn w:val="Heading1"/>
    <w:uiPriority w:val="1"/>
    <w:qFormat/>
    <w:rsid w:val="008D13CC"/>
    <w:pPr>
      <w:numPr>
        <w:numId w:val="1"/>
      </w:numPr>
      <w:tabs>
        <w:tab w:val="left" w:pos="839"/>
      </w:tabs>
      <w:ind w:right="600"/>
    </w:pPr>
    <w:rPr>
      <w:szCs w:val="24"/>
    </w:rPr>
  </w:style>
  <w:style w:type="paragraph" w:styleId="Header">
    <w:name w:val="header"/>
    <w:basedOn w:val="Normal"/>
    <w:link w:val="HeaderChar"/>
    <w:uiPriority w:val="99"/>
    <w:unhideWhenUsed/>
    <w:rsid w:val="006709B2"/>
    <w:pPr>
      <w:tabs>
        <w:tab w:val="center" w:pos="4680"/>
        <w:tab w:val="right" w:pos="9360"/>
      </w:tabs>
    </w:pPr>
  </w:style>
  <w:style w:type="character" w:customStyle="1" w:styleId="HeaderChar">
    <w:name w:val="Header Char"/>
    <w:basedOn w:val="DefaultParagraphFont"/>
    <w:link w:val="Header"/>
    <w:uiPriority w:val="99"/>
    <w:rsid w:val="006709B2"/>
    <w:rPr>
      <w:rFonts w:ascii="Calibri" w:eastAsia="Calibri" w:hAnsi="Calibri" w:cs="Calibri"/>
      <w:lang w:bidi="en-US"/>
    </w:rPr>
  </w:style>
  <w:style w:type="paragraph" w:styleId="Footer">
    <w:name w:val="footer"/>
    <w:basedOn w:val="Normal"/>
    <w:link w:val="FooterChar"/>
    <w:uiPriority w:val="99"/>
    <w:unhideWhenUsed/>
    <w:rsid w:val="006709B2"/>
    <w:pPr>
      <w:tabs>
        <w:tab w:val="center" w:pos="4680"/>
        <w:tab w:val="right" w:pos="9360"/>
      </w:tabs>
    </w:pPr>
  </w:style>
  <w:style w:type="character" w:customStyle="1" w:styleId="FooterChar">
    <w:name w:val="Footer Char"/>
    <w:basedOn w:val="DefaultParagraphFont"/>
    <w:link w:val="Footer"/>
    <w:uiPriority w:val="99"/>
    <w:rsid w:val="006709B2"/>
    <w:rPr>
      <w:rFonts w:ascii="Calibri" w:eastAsia="Calibri" w:hAnsi="Calibri" w:cs="Calibri"/>
      <w:lang w:bidi="en-US"/>
    </w:rPr>
  </w:style>
  <w:style w:type="paragraph" w:styleId="NoSpacing">
    <w:name w:val="No Spacing"/>
    <w:uiPriority w:val="1"/>
    <w:qFormat/>
    <w:rsid w:val="004A00B2"/>
    <w:pPr>
      <w:widowControl w:val="0"/>
      <w:autoSpaceDE w:val="0"/>
      <w:autoSpaceDN w:val="0"/>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2159D-A602-4CDF-8A50-4DFC2ECEFF74}">
  <ds:schemaRefs>
    <ds:schemaRef ds:uri="http://schemas.microsoft.com/sharepoint/v3/contenttype/forms"/>
  </ds:schemaRefs>
</ds:datastoreItem>
</file>

<file path=customXml/itemProps2.xml><?xml version="1.0" encoding="utf-8"?>
<ds:datastoreItem xmlns:ds="http://schemas.openxmlformats.org/officeDocument/2006/customXml" ds:itemID="{3BE4AF8F-7AFD-47CD-A7B9-69F6F78EF1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E4F4C4-9730-449F-968E-C74F5F28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2022-08-12T16:30:00Z</dcterms:created>
  <dcterms:modified xsi:type="dcterms:W3CDTF">2022-08-12T16:30:00Z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