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18734" w14:textId="77777777" w:rsidR="00CD5EB4" w:rsidRPr="009D5489" w:rsidRDefault="00CD5EB4" w:rsidP="00AD7E7A">
      <w:pPr>
        <w:tabs>
          <w:tab w:val="center" w:pos="4680"/>
        </w:tabs>
        <w:jc w:val="both"/>
        <w:rPr>
          <w:sz w:val="24"/>
        </w:rPr>
      </w:pPr>
    </w:p>
    <w:p w14:paraId="376CB979" w14:textId="77777777" w:rsidR="00CD5EB4" w:rsidRPr="009D5489" w:rsidRDefault="00CD5EB4" w:rsidP="00AD7E7A">
      <w:pPr>
        <w:tabs>
          <w:tab w:val="center" w:pos="4680"/>
        </w:tabs>
        <w:jc w:val="both"/>
        <w:rPr>
          <w:sz w:val="24"/>
        </w:rPr>
      </w:pPr>
    </w:p>
    <w:p w14:paraId="611419CB" w14:textId="77777777" w:rsidR="00CD5EB4" w:rsidRPr="009D5489" w:rsidRDefault="00CD5EB4" w:rsidP="00AD7E7A">
      <w:pPr>
        <w:tabs>
          <w:tab w:val="center" w:pos="4680"/>
        </w:tabs>
        <w:jc w:val="both"/>
        <w:rPr>
          <w:sz w:val="24"/>
        </w:rPr>
      </w:pPr>
    </w:p>
    <w:p w14:paraId="5B2E5B7C" w14:textId="77777777" w:rsidR="00CD5EB4" w:rsidRPr="009D5489" w:rsidRDefault="00CD5EB4" w:rsidP="00AD7E7A">
      <w:pPr>
        <w:tabs>
          <w:tab w:val="center" w:pos="4680"/>
        </w:tabs>
        <w:jc w:val="both"/>
        <w:rPr>
          <w:sz w:val="24"/>
        </w:rPr>
      </w:pPr>
    </w:p>
    <w:p w14:paraId="1C787C9D" w14:textId="77777777" w:rsidR="00CD5EB4" w:rsidRPr="009D5489" w:rsidRDefault="00CD5EB4" w:rsidP="00AD7E7A">
      <w:pPr>
        <w:tabs>
          <w:tab w:val="center" w:pos="4680"/>
        </w:tabs>
        <w:jc w:val="both"/>
        <w:rPr>
          <w:sz w:val="24"/>
        </w:rPr>
      </w:pPr>
    </w:p>
    <w:p w14:paraId="55516156" w14:textId="77777777" w:rsidR="00CD5EB4" w:rsidRPr="009D5489" w:rsidRDefault="00CD5EB4" w:rsidP="00AD7E7A">
      <w:pPr>
        <w:tabs>
          <w:tab w:val="center" w:pos="4680"/>
        </w:tabs>
        <w:jc w:val="both"/>
        <w:rPr>
          <w:sz w:val="24"/>
        </w:rPr>
      </w:pPr>
    </w:p>
    <w:p w14:paraId="2E0FF2F7" w14:textId="77777777" w:rsidR="00CD5EB4" w:rsidRPr="009D5489" w:rsidRDefault="00CD5EB4" w:rsidP="00AD7E7A">
      <w:pPr>
        <w:tabs>
          <w:tab w:val="center" w:pos="4680"/>
        </w:tabs>
        <w:jc w:val="both"/>
        <w:rPr>
          <w:sz w:val="24"/>
        </w:rPr>
      </w:pPr>
    </w:p>
    <w:p w14:paraId="34E8B596" w14:textId="77777777" w:rsidR="00CD5EB4" w:rsidRPr="009D5489" w:rsidRDefault="00CD5EB4" w:rsidP="00AD7E7A">
      <w:pPr>
        <w:tabs>
          <w:tab w:val="center" w:pos="4680"/>
        </w:tabs>
        <w:jc w:val="both"/>
        <w:rPr>
          <w:sz w:val="24"/>
        </w:rPr>
      </w:pPr>
    </w:p>
    <w:p w14:paraId="5E8B1CBF" w14:textId="77777777" w:rsidR="00CD5EB4" w:rsidRPr="009D5489" w:rsidRDefault="00CD5EB4" w:rsidP="00AD7E7A">
      <w:pPr>
        <w:tabs>
          <w:tab w:val="center" w:pos="4680"/>
        </w:tabs>
        <w:jc w:val="both"/>
        <w:rPr>
          <w:sz w:val="24"/>
        </w:rPr>
      </w:pPr>
    </w:p>
    <w:p w14:paraId="19DAC2C0" w14:textId="77777777" w:rsidR="00CD5EB4" w:rsidRPr="009D5489" w:rsidRDefault="00CD5EB4" w:rsidP="00AD7E7A">
      <w:pPr>
        <w:tabs>
          <w:tab w:val="center" w:pos="4680"/>
        </w:tabs>
        <w:jc w:val="both"/>
        <w:rPr>
          <w:sz w:val="24"/>
        </w:rPr>
      </w:pPr>
    </w:p>
    <w:p w14:paraId="786E00C9" w14:textId="77777777" w:rsidR="00CD5EB4" w:rsidRPr="009D5489" w:rsidRDefault="00CD5EB4" w:rsidP="00AD7E7A">
      <w:pPr>
        <w:tabs>
          <w:tab w:val="center" w:pos="4680"/>
        </w:tabs>
        <w:jc w:val="both"/>
        <w:rPr>
          <w:sz w:val="24"/>
        </w:rPr>
      </w:pPr>
    </w:p>
    <w:p w14:paraId="2F211256" w14:textId="77777777" w:rsidR="00CD5EB4" w:rsidRPr="009D5489" w:rsidRDefault="00CD5EB4" w:rsidP="00AD7E7A">
      <w:pPr>
        <w:tabs>
          <w:tab w:val="center" w:pos="4680"/>
        </w:tabs>
        <w:jc w:val="both"/>
        <w:rPr>
          <w:sz w:val="24"/>
        </w:rPr>
      </w:pPr>
    </w:p>
    <w:p w14:paraId="22C935B3" w14:textId="77777777" w:rsidR="00AD7E7A" w:rsidRPr="006D2423" w:rsidRDefault="00FC421E" w:rsidP="006D2423">
      <w:pPr>
        <w:pStyle w:val="Heading1"/>
      </w:pPr>
      <w:r w:rsidRPr="006D2423">
        <w:t>GUIDELINES FOR PROMOTION AND TENURE</w:t>
      </w:r>
      <w:r w:rsidR="006D2423" w:rsidRPr="006D2423">
        <w:t xml:space="preserve"> </w:t>
      </w:r>
      <w:r w:rsidR="00AD7E7A" w:rsidRPr="006D2423">
        <w:t>OF THE</w:t>
      </w:r>
      <w:r w:rsidR="006D2423" w:rsidRPr="006D2423">
        <w:t xml:space="preserve"> </w:t>
      </w:r>
      <w:r w:rsidR="00AD7E7A" w:rsidRPr="006D2423">
        <w:t>DEPARTMENT OF ECONOMICS AND GEOGRAPHY</w:t>
      </w:r>
    </w:p>
    <w:p w14:paraId="1C1DE04F" w14:textId="77777777" w:rsidR="00AD7E7A" w:rsidRPr="009D5489" w:rsidRDefault="00AD7E7A" w:rsidP="00AD7E7A">
      <w:pPr>
        <w:jc w:val="both"/>
        <w:rPr>
          <w:sz w:val="24"/>
        </w:rPr>
      </w:pPr>
    </w:p>
    <w:p w14:paraId="4132E6BA" w14:textId="77777777" w:rsidR="00AD7E7A" w:rsidRPr="009D5489" w:rsidRDefault="00AD7E7A" w:rsidP="00AD7E7A">
      <w:pPr>
        <w:tabs>
          <w:tab w:val="center" w:pos="4680"/>
        </w:tabs>
        <w:jc w:val="both"/>
        <w:rPr>
          <w:sz w:val="24"/>
        </w:rPr>
      </w:pPr>
      <w:r w:rsidRPr="009D5489">
        <w:rPr>
          <w:sz w:val="24"/>
        </w:rPr>
        <w:tab/>
        <w:t>UNIVERSITY OF NORTH FLORIDA</w:t>
      </w:r>
    </w:p>
    <w:p w14:paraId="58CA57F8" w14:textId="77777777" w:rsidR="00AD7E7A" w:rsidRPr="009D5489" w:rsidRDefault="00AD7E7A" w:rsidP="00AD7E7A">
      <w:pPr>
        <w:jc w:val="both"/>
        <w:rPr>
          <w:sz w:val="24"/>
        </w:rPr>
      </w:pPr>
    </w:p>
    <w:p w14:paraId="659D9C3C" w14:textId="77777777" w:rsidR="00AD7E7A" w:rsidRPr="009D5489" w:rsidRDefault="00661E2E" w:rsidP="00661E2E">
      <w:pPr>
        <w:jc w:val="center"/>
        <w:rPr>
          <w:sz w:val="24"/>
        </w:rPr>
      </w:pPr>
      <w:r w:rsidRPr="009D5489">
        <w:rPr>
          <w:sz w:val="24"/>
        </w:rPr>
        <w:t>(ALL PROVISIONS ARE DESIGNED TO BE IN COMPLIANCE BETWEEN THE UNF</w:t>
      </w:r>
      <w:r w:rsidR="00E836DF" w:rsidRPr="009D5489">
        <w:rPr>
          <w:sz w:val="24"/>
        </w:rPr>
        <w:t xml:space="preserve"> BOARD OF TRUSTEE</w:t>
      </w:r>
      <w:r w:rsidRPr="009D5489">
        <w:rPr>
          <w:sz w:val="24"/>
        </w:rPr>
        <w:t>-UFF AGREEMENT CURRENT THROUGH JUNE 30, 20</w:t>
      </w:r>
      <w:r w:rsidR="00C834CA" w:rsidRPr="009D5489">
        <w:rPr>
          <w:sz w:val="24"/>
        </w:rPr>
        <w:t>17</w:t>
      </w:r>
      <w:r w:rsidRPr="009D5489">
        <w:rPr>
          <w:sz w:val="24"/>
        </w:rPr>
        <w:t>)</w:t>
      </w:r>
    </w:p>
    <w:p w14:paraId="6A7F8D26" w14:textId="77777777" w:rsidR="00AD7E7A" w:rsidRPr="009D5489" w:rsidRDefault="00AD7E7A" w:rsidP="00AD7E7A">
      <w:pPr>
        <w:jc w:val="both"/>
        <w:rPr>
          <w:sz w:val="24"/>
        </w:rPr>
      </w:pPr>
    </w:p>
    <w:p w14:paraId="3A56E577" w14:textId="77777777" w:rsidR="00AD7E7A" w:rsidRPr="009D5489" w:rsidRDefault="00AD7E7A" w:rsidP="00AD7E7A">
      <w:pPr>
        <w:jc w:val="both"/>
        <w:rPr>
          <w:sz w:val="24"/>
        </w:rPr>
      </w:pPr>
    </w:p>
    <w:p w14:paraId="32ADC6F8" w14:textId="77777777" w:rsidR="00AD7E7A" w:rsidRPr="009D5489" w:rsidRDefault="00AD7E7A" w:rsidP="00AD7E7A">
      <w:pPr>
        <w:jc w:val="both"/>
        <w:rPr>
          <w:sz w:val="24"/>
        </w:rPr>
      </w:pPr>
    </w:p>
    <w:p w14:paraId="4FB6EF89" w14:textId="77777777" w:rsidR="00AD7E7A" w:rsidRPr="009D5489" w:rsidRDefault="00AD7E7A" w:rsidP="00AD7E7A">
      <w:pPr>
        <w:jc w:val="both"/>
        <w:rPr>
          <w:sz w:val="24"/>
        </w:rPr>
      </w:pPr>
    </w:p>
    <w:p w14:paraId="381033A3" w14:textId="77777777" w:rsidR="00AD7E7A" w:rsidRPr="009D5489" w:rsidRDefault="00AD7E7A" w:rsidP="00AD7E7A">
      <w:pPr>
        <w:jc w:val="both"/>
        <w:rPr>
          <w:sz w:val="24"/>
        </w:rPr>
      </w:pPr>
    </w:p>
    <w:p w14:paraId="6099B806" w14:textId="77777777" w:rsidR="00AD7E7A" w:rsidRPr="009D5489" w:rsidRDefault="00AD7E7A" w:rsidP="00AD7E7A">
      <w:pPr>
        <w:jc w:val="both"/>
        <w:rPr>
          <w:sz w:val="24"/>
        </w:rPr>
      </w:pPr>
    </w:p>
    <w:p w14:paraId="0435A6C9" w14:textId="77777777" w:rsidR="00AD7E7A" w:rsidRPr="009D5489" w:rsidRDefault="00AD7E7A" w:rsidP="00AD7E7A">
      <w:pPr>
        <w:jc w:val="both"/>
        <w:rPr>
          <w:sz w:val="24"/>
        </w:rPr>
      </w:pPr>
    </w:p>
    <w:p w14:paraId="194C1004" w14:textId="77777777" w:rsidR="00AD7E7A" w:rsidRPr="009D5489" w:rsidRDefault="00AD7E7A" w:rsidP="00AD7E7A">
      <w:pPr>
        <w:jc w:val="both"/>
        <w:rPr>
          <w:sz w:val="24"/>
        </w:rPr>
      </w:pPr>
    </w:p>
    <w:p w14:paraId="160F1643" w14:textId="77777777" w:rsidR="00AD7E7A" w:rsidRPr="009D5489" w:rsidRDefault="00AD7E7A" w:rsidP="00AD7E7A">
      <w:pPr>
        <w:jc w:val="both"/>
        <w:rPr>
          <w:sz w:val="24"/>
        </w:rPr>
      </w:pPr>
    </w:p>
    <w:p w14:paraId="5BD5D3A4" w14:textId="77777777" w:rsidR="00AD7E7A" w:rsidRPr="009D5489" w:rsidRDefault="00AD7E7A" w:rsidP="00AD7E7A">
      <w:pPr>
        <w:jc w:val="both"/>
        <w:rPr>
          <w:sz w:val="24"/>
        </w:rPr>
      </w:pPr>
    </w:p>
    <w:p w14:paraId="35252979" w14:textId="77777777" w:rsidR="00AD7E7A" w:rsidRPr="009D5489" w:rsidRDefault="00AD7E7A" w:rsidP="00AD7E7A">
      <w:pPr>
        <w:jc w:val="both"/>
        <w:rPr>
          <w:sz w:val="24"/>
        </w:rPr>
      </w:pPr>
    </w:p>
    <w:p w14:paraId="6DB4DA33" w14:textId="77777777" w:rsidR="00AD7E7A" w:rsidRPr="009D5489" w:rsidRDefault="00AD7E7A" w:rsidP="00AD7E7A">
      <w:pPr>
        <w:jc w:val="both"/>
        <w:rPr>
          <w:sz w:val="24"/>
        </w:rPr>
      </w:pPr>
    </w:p>
    <w:p w14:paraId="4E23CF29" w14:textId="77777777" w:rsidR="00AD7E7A" w:rsidRPr="009D5489" w:rsidRDefault="00AD7E7A" w:rsidP="00AD7E7A">
      <w:pPr>
        <w:jc w:val="both"/>
        <w:rPr>
          <w:sz w:val="24"/>
        </w:rPr>
      </w:pPr>
    </w:p>
    <w:p w14:paraId="4ECF42D1" w14:textId="77777777" w:rsidR="00AD7E7A" w:rsidRPr="009D5489" w:rsidRDefault="00AD7E7A" w:rsidP="00AD7E7A">
      <w:pPr>
        <w:tabs>
          <w:tab w:val="center" w:pos="4680"/>
        </w:tabs>
        <w:jc w:val="both"/>
        <w:rPr>
          <w:sz w:val="24"/>
        </w:rPr>
      </w:pPr>
      <w:r w:rsidRPr="009D5489">
        <w:rPr>
          <w:sz w:val="24"/>
        </w:rPr>
        <w:tab/>
        <w:t>Revised</w:t>
      </w:r>
    </w:p>
    <w:p w14:paraId="00432D7D" w14:textId="77777777" w:rsidR="00AD7E7A" w:rsidRPr="009D5489" w:rsidRDefault="00AD7E7A" w:rsidP="00AD7E7A">
      <w:pPr>
        <w:jc w:val="both"/>
        <w:rPr>
          <w:sz w:val="24"/>
        </w:rPr>
      </w:pPr>
    </w:p>
    <w:p w14:paraId="2C34B48E" w14:textId="77777777" w:rsidR="00AD7E7A" w:rsidRPr="009D5489" w:rsidRDefault="00AD7E7A" w:rsidP="00AD7E7A">
      <w:pPr>
        <w:tabs>
          <w:tab w:val="center" w:pos="4680"/>
        </w:tabs>
        <w:jc w:val="both"/>
        <w:rPr>
          <w:sz w:val="24"/>
        </w:rPr>
      </w:pPr>
      <w:r w:rsidRPr="009D5489">
        <w:rPr>
          <w:sz w:val="24"/>
        </w:rPr>
        <w:tab/>
      </w:r>
      <w:r w:rsidR="00FC421E">
        <w:rPr>
          <w:sz w:val="24"/>
        </w:rPr>
        <w:t>February</w:t>
      </w:r>
      <w:r w:rsidR="00FC421E" w:rsidRPr="009D5489">
        <w:rPr>
          <w:sz w:val="24"/>
        </w:rPr>
        <w:t xml:space="preserve"> 201</w:t>
      </w:r>
      <w:r w:rsidR="00FC421E">
        <w:rPr>
          <w:sz w:val="24"/>
        </w:rPr>
        <w:t>7</w:t>
      </w:r>
    </w:p>
    <w:p w14:paraId="7CFF8280" w14:textId="77777777" w:rsidR="00AD7E7A" w:rsidRPr="009D5489" w:rsidRDefault="00AD7E7A" w:rsidP="00AD7E7A">
      <w:pPr>
        <w:tabs>
          <w:tab w:val="center" w:pos="4680"/>
        </w:tabs>
        <w:jc w:val="both"/>
        <w:rPr>
          <w:sz w:val="24"/>
        </w:rPr>
        <w:sectPr w:rsidR="00AD7E7A" w:rsidRPr="009D5489">
          <w:endnotePr>
            <w:numFmt w:val="decimal"/>
          </w:endnotePr>
          <w:pgSz w:w="12240" w:h="15840"/>
          <w:pgMar w:top="1440" w:right="1440" w:bottom="1440" w:left="1440" w:header="1440" w:footer="1440" w:gutter="0"/>
          <w:cols w:space="720"/>
          <w:noEndnote/>
        </w:sectPr>
      </w:pPr>
    </w:p>
    <w:p w14:paraId="713E6BB2" w14:textId="77777777" w:rsidR="004E687B" w:rsidRPr="009D5489" w:rsidRDefault="00AD7E7A" w:rsidP="00DB223A">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600" w:hanging="600"/>
        <w:rPr>
          <w:b/>
          <w:bCs/>
          <w:sz w:val="24"/>
        </w:rPr>
      </w:pPr>
      <w:r w:rsidRPr="009D5489">
        <w:rPr>
          <w:sz w:val="24"/>
        </w:rPr>
        <w:lastRenderedPageBreak/>
        <w:tab/>
      </w:r>
    </w:p>
    <w:p w14:paraId="02B68DF8" w14:textId="77777777" w:rsidR="004E687B" w:rsidRPr="009D5489" w:rsidRDefault="004E687B" w:rsidP="006D2423">
      <w:pPr>
        <w:pStyle w:val="Heading2"/>
      </w:pPr>
      <w:r w:rsidRPr="009D5489">
        <w:tab/>
      </w:r>
      <w:r w:rsidRPr="006D2423">
        <w:t>ARTICLE</w:t>
      </w:r>
      <w:r w:rsidRPr="009D5489">
        <w:t xml:space="preserve"> </w:t>
      </w:r>
      <w:r w:rsidR="002B49DF">
        <w:t>I</w:t>
      </w:r>
    </w:p>
    <w:p w14:paraId="307111C6"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bCs/>
          <w:sz w:val="24"/>
        </w:rPr>
      </w:pPr>
    </w:p>
    <w:p w14:paraId="7CC3B8FD" w14:textId="77777777" w:rsidR="004E687B" w:rsidRPr="009D5489" w:rsidRDefault="004E687B" w:rsidP="006D2423">
      <w:pPr>
        <w:pStyle w:val="Heading3"/>
      </w:pPr>
      <w:r w:rsidRPr="009D5489">
        <w:tab/>
        <w:t xml:space="preserve">TENURE AND PROMOTION TO ASSOCIATE PROFESSOR </w:t>
      </w:r>
    </w:p>
    <w:p w14:paraId="7B9CAD81" w14:textId="77777777" w:rsidR="004E687B" w:rsidRPr="009D5489" w:rsidRDefault="004E687B">
      <w:pPr>
        <w:widowControl/>
        <w:tabs>
          <w:tab w:val="center" w:pos="4680"/>
          <w:tab w:val="left" w:pos="4800"/>
          <w:tab w:val="left" w:pos="5400"/>
          <w:tab w:val="left" w:pos="6000"/>
          <w:tab w:val="left" w:pos="6600"/>
          <w:tab w:val="left" w:pos="7200"/>
          <w:tab w:val="left" w:pos="7800"/>
          <w:tab w:val="left" w:pos="8400"/>
          <w:tab w:val="left" w:pos="9000"/>
        </w:tabs>
        <w:rPr>
          <w:sz w:val="24"/>
        </w:rPr>
      </w:pPr>
      <w:r w:rsidRPr="009D5489">
        <w:rPr>
          <w:b/>
          <w:bCs/>
          <w:sz w:val="24"/>
        </w:rPr>
        <w:tab/>
      </w:r>
    </w:p>
    <w:p w14:paraId="44B927C6"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p>
    <w:p w14:paraId="0E379ECA" w14:textId="77777777" w:rsidR="006D2423" w:rsidRDefault="004E687B" w:rsidP="006D2423">
      <w:pPr>
        <w:pStyle w:val="Default1"/>
        <w:numPr>
          <w:ilvl w:val="0"/>
          <w:numId w:val="42"/>
        </w:numPr>
        <w:rPr>
          <w:sz w:val="24"/>
        </w:rPr>
      </w:pPr>
      <w:r w:rsidRPr="009D5489">
        <w:rPr>
          <w:sz w:val="24"/>
        </w:rPr>
        <w:t xml:space="preserve">The faculty members of the Department of Economics and Geography adopt the University Tenure Criteria set forth in the current agreement between the UNF Board of Trustees and the United Faculty of Florida. According to the </w:t>
      </w:r>
      <w:r w:rsidRPr="009D5489">
        <w:rPr>
          <w:sz w:val="24"/>
          <w:u w:val="single"/>
        </w:rPr>
        <w:t xml:space="preserve">Collective Bargaining Agreement </w:t>
      </w:r>
      <w:r w:rsidRPr="009D5489">
        <w:rPr>
          <w:sz w:val="24"/>
        </w:rPr>
        <w:t>(CBA), section 19</w:t>
      </w:r>
      <w:r w:rsidR="00B94A9D" w:rsidRPr="009D5489">
        <w:rPr>
          <w:sz w:val="24"/>
        </w:rPr>
        <w:t>.</w:t>
      </w:r>
      <w:r w:rsidR="008A3E1E" w:rsidRPr="009D5489">
        <w:rPr>
          <w:sz w:val="24"/>
        </w:rPr>
        <w:t>5</w:t>
      </w:r>
      <w:r w:rsidR="00CC3539" w:rsidRPr="009D5489">
        <w:rPr>
          <w:sz w:val="24"/>
        </w:rPr>
        <w:t>(a)</w:t>
      </w:r>
      <w:r w:rsidRPr="009D5489">
        <w:rPr>
          <w:sz w:val="24"/>
        </w:rPr>
        <w:t xml:space="preserve"> Tenure: The decision to award tenure to a faculty member shall be a result of meritorious performance and shall be consistent with the University’s tenure criteria and the </w:t>
      </w:r>
      <w:r w:rsidR="008A3E1E" w:rsidRPr="009D5489">
        <w:rPr>
          <w:sz w:val="24"/>
        </w:rPr>
        <w:t>guidelines for application</w:t>
      </w:r>
      <w:r w:rsidRPr="009D5489">
        <w:rPr>
          <w:sz w:val="24"/>
        </w:rPr>
        <w:t xml:space="preserve"> of those criteria</w:t>
      </w:r>
      <w:r w:rsidR="008A3E1E" w:rsidRPr="009D5489">
        <w:rPr>
          <w:sz w:val="24"/>
        </w:rPr>
        <w:t xml:space="preserve"> pursuant to Article 9</w:t>
      </w:r>
      <w:r w:rsidRPr="009D5489">
        <w:rPr>
          <w:sz w:val="24"/>
        </w:rPr>
        <w:t xml:space="preserve">. The faculty member’s accomplishments elsewhere which are applicable to the UNF tenure criteria shall be considered in addition to his/her performance during his/her service at the University. </w:t>
      </w:r>
    </w:p>
    <w:p w14:paraId="06D36648" w14:textId="77777777" w:rsidR="006D2423" w:rsidRDefault="006D2423" w:rsidP="006D2423">
      <w:pPr>
        <w:pStyle w:val="Default1"/>
        <w:ind w:left="1080"/>
        <w:rPr>
          <w:sz w:val="24"/>
        </w:rPr>
      </w:pPr>
    </w:p>
    <w:p w14:paraId="770782CA" w14:textId="77777777" w:rsidR="006D2423" w:rsidRDefault="002B49DF" w:rsidP="006D2423">
      <w:pPr>
        <w:pStyle w:val="Default1"/>
        <w:ind w:firstLine="360"/>
        <w:rPr>
          <w:sz w:val="24"/>
        </w:rPr>
      </w:pPr>
      <w:r w:rsidRPr="006D2423">
        <w:rPr>
          <w:sz w:val="24"/>
        </w:rPr>
        <w:t>T</w:t>
      </w:r>
      <w:r w:rsidR="009565F8" w:rsidRPr="006D2423">
        <w:rPr>
          <w:sz w:val="24"/>
        </w:rPr>
        <w:t xml:space="preserve">hese </w:t>
      </w:r>
      <w:r w:rsidR="00D47B95" w:rsidRPr="006D2423">
        <w:rPr>
          <w:sz w:val="24"/>
        </w:rPr>
        <w:t xml:space="preserve">guidelines </w:t>
      </w:r>
      <w:r w:rsidR="009565F8" w:rsidRPr="006D2423">
        <w:rPr>
          <w:sz w:val="24"/>
        </w:rPr>
        <w:t xml:space="preserve">are intended to demonstrate the breadth, scope and type of accomplishments expected for tenure and promotion to Associate Professor.  Accumulating the number of contributions suggested in the bylaws will not in itself guarantee tenure or promotion because determining whether an individual has demonstrated excellence in teaching and scholarship and made meaningful contributions in service will require judgments of both the quantity and quality of the accomplishments by reviewers at each step of the process.  For this </w:t>
      </w:r>
      <w:proofErr w:type="gramStart"/>
      <w:r w:rsidR="009565F8" w:rsidRPr="006D2423">
        <w:rPr>
          <w:sz w:val="24"/>
        </w:rPr>
        <w:t>reason</w:t>
      </w:r>
      <w:proofErr w:type="gramEnd"/>
      <w:r w:rsidR="009565F8" w:rsidRPr="006D2423">
        <w:rPr>
          <w:sz w:val="24"/>
        </w:rPr>
        <w:t xml:space="preserve"> the </w:t>
      </w:r>
      <w:r w:rsidR="00851BDF" w:rsidRPr="006D2423">
        <w:rPr>
          <w:sz w:val="24"/>
        </w:rPr>
        <w:t xml:space="preserve">guidelines </w:t>
      </w:r>
      <w:r w:rsidR="009565F8" w:rsidRPr="006D2423">
        <w:rPr>
          <w:sz w:val="24"/>
        </w:rPr>
        <w:t>should be viewed as guideposts to inform individuals seeking tenure or promotion but are not intended as a check sheet that will automatically result in tenure or promotion.</w:t>
      </w:r>
    </w:p>
    <w:p w14:paraId="763166C8" w14:textId="77777777" w:rsidR="006D2423" w:rsidRDefault="006D2423" w:rsidP="006D2423">
      <w:pPr>
        <w:pStyle w:val="Default1"/>
        <w:ind w:left="1080"/>
        <w:rPr>
          <w:sz w:val="24"/>
        </w:rPr>
      </w:pPr>
    </w:p>
    <w:p w14:paraId="6040F9F8" w14:textId="77777777" w:rsidR="004E687B" w:rsidRPr="006D2423" w:rsidRDefault="004E687B" w:rsidP="006D2423">
      <w:pPr>
        <w:pStyle w:val="Default1"/>
        <w:ind w:firstLine="360"/>
        <w:rPr>
          <w:sz w:val="32"/>
        </w:rPr>
      </w:pPr>
      <w:r w:rsidRPr="006D2423">
        <w:rPr>
          <w:sz w:val="24"/>
        </w:rPr>
        <w:t>It is expected that the faculty member will provide evidence of the accomplishments that justify the granting of tenure and promotion to Associate Professor, and it is understood that it is the responsibility of the reviewers of the dossier to make some qualitative assessments.</w:t>
      </w:r>
      <w:r w:rsidRPr="006D2423">
        <w:rPr>
          <w:sz w:val="24"/>
          <w:u w:val="single"/>
        </w:rPr>
        <w:t xml:space="preserve"> </w:t>
      </w:r>
    </w:p>
    <w:p w14:paraId="37C28DEA" w14:textId="77777777" w:rsidR="004E687B" w:rsidRPr="009D5489" w:rsidRDefault="004E687B">
      <w:pPr>
        <w:pStyle w:val="Default"/>
        <w:ind w:left="720"/>
        <w:rPr>
          <w:color w:val="auto"/>
        </w:rPr>
      </w:pPr>
    </w:p>
    <w:p w14:paraId="3DCB1649"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p>
    <w:p w14:paraId="3322C4EA" w14:textId="77777777" w:rsidR="004E687B" w:rsidRPr="009D5489" w:rsidRDefault="004E687B" w:rsidP="006D2423">
      <w:pPr>
        <w:pStyle w:val="Default"/>
        <w:numPr>
          <w:ilvl w:val="0"/>
          <w:numId w:val="42"/>
        </w:numPr>
        <w:rPr>
          <w:color w:val="auto"/>
        </w:rPr>
      </w:pPr>
      <w:r w:rsidRPr="009D5489">
        <w:rPr>
          <w:color w:val="auto"/>
        </w:rPr>
        <w:t xml:space="preserve">Teaching. </w:t>
      </w:r>
    </w:p>
    <w:p w14:paraId="57E9090B" w14:textId="77777777" w:rsidR="004E687B" w:rsidRPr="009D5489" w:rsidRDefault="004E687B">
      <w:pPr>
        <w:pStyle w:val="Default"/>
        <w:ind w:left="720"/>
        <w:rPr>
          <w:color w:val="auto"/>
        </w:rPr>
      </w:pPr>
    </w:p>
    <w:p w14:paraId="220CC224" w14:textId="77777777" w:rsidR="004E687B" w:rsidRPr="009D5489" w:rsidRDefault="004E687B" w:rsidP="006D2423">
      <w:pPr>
        <w:pStyle w:val="Default"/>
        <w:numPr>
          <w:ilvl w:val="7"/>
          <w:numId w:val="42"/>
        </w:numPr>
        <w:rPr>
          <w:color w:val="auto"/>
        </w:rPr>
      </w:pPr>
      <w:r w:rsidRPr="009D5489">
        <w:rPr>
          <w:color w:val="auto"/>
        </w:rPr>
        <w:t>The candidate for tenure and promotion to Associate Professor shall write, according to the CBA [section 19.8(</w:t>
      </w:r>
      <w:r w:rsidR="006B59B0" w:rsidRPr="009D5489">
        <w:rPr>
          <w:color w:val="auto"/>
        </w:rPr>
        <w:t>d</w:t>
      </w:r>
      <w:r w:rsidRPr="009D5489">
        <w:rPr>
          <w:color w:val="auto"/>
        </w:rPr>
        <w:t>)</w:t>
      </w:r>
      <w:r w:rsidR="00390217" w:rsidRPr="009D5489">
        <w:rPr>
          <w:color w:val="auto"/>
        </w:rPr>
        <w:t>(</w:t>
      </w:r>
      <w:r w:rsidR="006B59B0" w:rsidRPr="009D5489">
        <w:rPr>
          <w:color w:val="auto"/>
        </w:rPr>
        <w:t>3</w:t>
      </w:r>
      <w:r w:rsidR="00390217" w:rsidRPr="009D5489">
        <w:rPr>
          <w:color w:val="auto"/>
        </w:rPr>
        <w:t>)</w:t>
      </w:r>
      <w:r w:rsidR="006B59B0" w:rsidRPr="009D5489">
        <w:rPr>
          <w:color w:val="auto"/>
        </w:rPr>
        <w:t>i</w:t>
      </w:r>
      <w:r w:rsidRPr="009D5489">
        <w:rPr>
          <w:color w:val="auto"/>
        </w:rPr>
        <w:t xml:space="preserve">.]:  </w:t>
      </w:r>
      <w:r w:rsidR="00390217" w:rsidRPr="009D5489">
        <w:rPr>
          <w:color w:val="auto"/>
        </w:rPr>
        <w:t>“</w:t>
      </w:r>
      <w:r w:rsidRPr="009D5489">
        <w:rPr>
          <w:color w:val="auto"/>
        </w:rPr>
        <w:t>a summary and discussion … of significant teaching and curriculum efforts, including but not limited to a summary of evaluations of his/her teaching by students and academic colleagues through University-sanctioned methods such as survey instruments, questionnaires, and in-class visitations, observations, and interviews.</w:t>
      </w:r>
      <w:r w:rsidR="00F53F4B" w:rsidRPr="009D5489">
        <w:rPr>
          <w:color w:val="auto"/>
        </w:rPr>
        <w:t>”</w:t>
      </w:r>
      <w:r w:rsidRPr="009D5489">
        <w:rPr>
          <w:color w:val="auto"/>
        </w:rPr>
        <w:t xml:space="preserve"> This narrative in the main binder of the dossier and the supporting documents (syllabi and other instructional materials) in the supplementary binders should address and </w:t>
      </w:r>
      <w:proofErr w:type="gramStart"/>
      <w:r w:rsidRPr="009D5489">
        <w:rPr>
          <w:color w:val="auto"/>
        </w:rPr>
        <w:t>take into account</w:t>
      </w:r>
      <w:proofErr w:type="gramEnd"/>
      <w:r w:rsidRPr="009D5489">
        <w:rPr>
          <w:color w:val="auto"/>
        </w:rPr>
        <w:t xml:space="preserve"> </w:t>
      </w:r>
      <w:r w:rsidR="002B49DF">
        <w:rPr>
          <w:color w:val="auto"/>
        </w:rPr>
        <w:t xml:space="preserve">items required by the CBA and </w:t>
      </w:r>
      <w:r w:rsidRPr="009D5489">
        <w:rPr>
          <w:color w:val="auto"/>
        </w:rPr>
        <w:t>the items in the list below. It is understood that not every item on the list, except those mandated by the CBA</w:t>
      </w:r>
      <w:r w:rsidR="001A7C18" w:rsidRPr="009D5489">
        <w:rPr>
          <w:color w:val="auto"/>
        </w:rPr>
        <w:t xml:space="preserve"> </w:t>
      </w:r>
      <w:r w:rsidRPr="009D5489">
        <w:rPr>
          <w:color w:val="auto"/>
        </w:rPr>
        <w:t xml:space="preserve">must necessarily be included, nor is the list itself exhaustive, but the overall effect of the discussion and </w:t>
      </w:r>
      <w:r w:rsidRPr="009D5489">
        <w:rPr>
          <w:color w:val="auto"/>
        </w:rPr>
        <w:lastRenderedPageBreak/>
        <w:t xml:space="preserve">supporting materials must be clearly to demonstrate the excellence and effectiveness of the candidate’s teaching. Basic activities such as maintenance of regularly scheduled office hours and availability for student conferences by appointment are taken as a given. </w:t>
      </w:r>
    </w:p>
    <w:p w14:paraId="5E809C11" w14:textId="77777777" w:rsidR="004E687B" w:rsidRPr="009D5489" w:rsidRDefault="004E687B">
      <w:pPr>
        <w:pStyle w:val="Default"/>
        <w:ind w:firstLine="720"/>
        <w:rPr>
          <w:color w:val="auto"/>
        </w:rPr>
      </w:pPr>
    </w:p>
    <w:p w14:paraId="06F032D6" w14:textId="77777777" w:rsidR="004E687B" w:rsidRPr="009D5489" w:rsidRDefault="004E687B" w:rsidP="006D2423">
      <w:pPr>
        <w:pStyle w:val="Default"/>
        <w:numPr>
          <w:ilvl w:val="0"/>
          <w:numId w:val="42"/>
        </w:numPr>
        <w:rPr>
          <w:color w:val="auto"/>
        </w:rPr>
      </w:pPr>
      <w:r w:rsidRPr="009D5489">
        <w:rPr>
          <w:color w:val="auto"/>
        </w:rPr>
        <w:t xml:space="preserve">Courses that have been innovative, relevant, creative, and/or showed an original approach to teaching, and/or incorporated instructional technology, collaborative learning, active learning, student engagement or other non-traditional teaching methods </w:t>
      </w:r>
    </w:p>
    <w:p w14:paraId="47DAFC7B" w14:textId="77777777" w:rsidR="004E687B" w:rsidRPr="009D5489" w:rsidRDefault="004E687B" w:rsidP="006D2423">
      <w:pPr>
        <w:pStyle w:val="Default"/>
        <w:numPr>
          <w:ilvl w:val="2"/>
          <w:numId w:val="42"/>
        </w:numPr>
        <w:rPr>
          <w:color w:val="auto"/>
        </w:rPr>
      </w:pPr>
      <w:r w:rsidRPr="009D5489">
        <w:rPr>
          <w:color w:val="auto"/>
        </w:rPr>
        <w:t>Program and/or curriculum development</w:t>
      </w:r>
    </w:p>
    <w:p w14:paraId="3714D220" w14:textId="77777777" w:rsidR="00F54207" w:rsidRPr="009D5489" w:rsidRDefault="004E687B" w:rsidP="006D2423">
      <w:pPr>
        <w:pStyle w:val="Default"/>
        <w:numPr>
          <w:ilvl w:val="2"/>
          <w:numId w:val="42"/>
        </w:numPr>
        <w:rPr>
          <w:color w:val="auto"/>
        </w:rPr>
      </w:pPr>
      <w:r w:rsidRPr="009D5489">
        <w:rPr>
          <w:color w:val="auto"/>
        </w:rPr>
        <w:t>Creation of new courses</w:t>
      </w:r>
    </w:p>
    <w:p w14:paraId="34CDEE7E" w14:textId="77777777" w:rsidR="004E687B" w:rsidRPr="009D5489" w:rsidRDefault="004E687B" w:rsidP="006D2423">
      <w:pPr>
        <w:pStyle w:val="Default"/>
        <w:numPr>
          <w:ilvl w:val="2"/>
          <w:numId w:val="42"/>
        </w:numPr>
        <w:rPr>
          <w:color w:val="auto"/>
        </w:rPr>
      </w:pPr>
      <w:r w:rsidRPr="009D5489">
        <w:rPr>
          <w:color w:val="auto"/>
        </w:rPr>
        <w:t xml:space="preserve">Revision of existing courses </w:t>
      </w:r>
    </w:p>
    <w:p w14:paraId="5B431B95" w14:textId="77777777" w:rsidR="004E687B" w:rsidRPr="009D5489" w:rsidRDefault="004E687B" w:rsidP="006D2423">
      <w:pPr>
        <w:pStyle w:val="Default"/>
        <w:numPr>
          <w:ilvl w:val="2"/>
          <w:numId w:val="42"/>
        </w:numPr>
        <w:rPr>
          <w:color w:val="auto"/>
        </w:rPr>
      </w:pPr>
      <w:r w:rsidRPr="009D5489">
        <w:rPr>
          <w:color w:val="auto"/>
        </w:rPr>
        <w:t>Participation in conferences, workshops and committees on teaching, learning and pedagogy</w:t>
      </w:r>
    </w:p>
    <w:p w14:paraId="38860BBB" w14:textId="77777777" w:rsidR="004E687B" w:rsidRPr="009D5489" w:rsidRDefault="004E687B" w:rsidP="006D2423">
      <w:pPr>
        <w:pStyle w:val="Default"/>
        <w:numPr>
          <w:ilvl w:val="2"/>
          <w:numId w:val="42"/>
        </w:numPr>
        <w:rPr>
          <w:color w:val="auto"/>
        </w:rPr>
      </w:pPr>
      <w:r w:rsidRPr="009D5489">
        <w:rPr>
          <w:color w:val="auto"/>
        </w:rPr>
        <w:t xml:space="preserve">Evaluations by chairperson </w:t>
      </w:r>
    </w:p>
    <w:p w14:paraId="097CCE4B" w14:textId="77777777" w:rsidR="004E687B" w:rsidRPr="009D5489" w:rsidRDefault="004E687B" w:rsidP="006D2423">
      <w:pPr>
        <w:pStyle w:val="Default"/>
        <w:numPr>
          <w:ilvl w:val="2"/>
          <w:numId w:val="42"/>
        </w:numPr>
        <w:rPr>
          <w:color w:val="auto"/>
        </w:rPr>
      </w:pPr>
      <w:r w:rsidRPr="009D5489">
        <w:rPr>
          <w:color w:val="auto"/>
        </w:rPr>
        <w:t xml:space="preserve">Evaluations by peers </w:t>
      </w:r>
    </w:p>
    <w:p w14:paraId="1402C00E" w14:textId="77777777" w:rsidR="004E687B" w:rsidRPr="009D5489" w:rsidRDefault="004E687B" w:rsidP="006D2423">
      <w:pPr>
        <w:pStyle w:val="Default"/>
        <w:numPr>
          <w:ilvl w:val="2"/>
          <w:numId w:val="42"/>
        </w:numPr>
        <w:rPr>
          <w:color w:val="auto"/>
        </w:rPr>
      </w:pPr>
      <w:r w:rsidRPr="009D5489">
        <w:rPr>
          <w:color w:val="auto"/>
        </w:rPr>
        <w:t xml:space="preserve">Responsiveness to evaluations of teaching by chair(s), peers, and/or students including self-reflection on effectiveness and attempts to improve where necessary </w:t>
      </w:r>
    </w:p>
    <w:p w14:paraId="488EA464" w14:textId="77777777" w:rsidR="004E687B" w:rsidRPr="009D5489" w:rsidRDefault="004E687B" w:rsidP="006D2423">
      <w:pPr>
        <w:pStyle w:val="Default"/>
        <w:numPr>
          <w:ilvl w:val="2"/>
          <w:numId w:val="42"/>
        </w:numPr>
        <w:rPr>
          <w:color w:val="auto"/>
        </w:rPr>
      </w:pPr>
      <w:r w:rsidRPr="009D5489">
        <w:rPr>
          <w:color w:val="auto"/>
        </w:rPr>
        <w:t>Supporting or mentoring student accomplishments directly related teaching</w:t>
      </w:r>
    </w:p>
    <w:p w14:paraId="234558DC" w14:textId="77777777" w:rsidR="004E687B" w:rsidRPr="009D5489" w:rsidRDefault="004E687B" w:rsidP="006D2423">
      <w:pPr>
        <w:pStyle w:val="Default"/>
        <w:numPr>
          <w:ilvl w:val="2"/>
          <w:numId w:val="42"/>
        </w:numPr>
        <w:rPr>
          <w:color w:val="auto"/>
        </w:rPr>
      </w:pPr>
      <w:r w:rsidRPr="009D5489">
        <w:rPr>
          <w:color w:val="auto"/>
        </w:rPr>
        <w:t xml:space="preserve">Development of activities for students that support the University’s and Department’s program, curriculum and assurance of learning objectives </w:t>
      </w:r>
    </w:p>
    <w:p w14:paraId="366EC32B" w14:textId="77777777" w:rsidR="004E687B" w:rsidRPr="009D5489" w:rsidRDefault="004E687B" w:rsidP="006D2423">
      <w:pPr>
        <w:pStyle w:val="Default"/>
        <w:numPr>
          <w:ilvl w:val="2"/>
          <w:numId w:val="42"/>
        </w:numPr>
        <w:rPr>
          <w:color w:val="auto"/>
        </w:rPr>
      </w:pPr>
      <w:r w:rsidRPr="009D5489">
        <w:rPr>
          <w:color w:val="auto"/>
        </w:rPr>
        <w:t>Teaching award</w:t>
      </w:r>
    </w:p>
    <w:p w14:paraId="52421AE4" w14:textId="77777777" w:rsidR="004E687B" w:rsidRPr="009D5489" w:rsidRDefault="004E687B" w:rsidP="006D2423">
      <w:pPr>
        <w:pStyle w:val="Default"/>
        <w:numPr>
          <w:ilvl w:val="2"/>
          <w:numId w:val="42"/>
        </w:numPr>
        <w:rPr>
          <w:color w:val="auto"/>
        </w:rPr>
      </w:pPr>
      <w:r w:rsidRPr="009D5489">
        <w:rPr>
          <w:color w:val="auto"/>
        </w:rPr>
        <w:t>Scholarship of teaching such as publication of a research on topics including pedagogy and student learning</w:t>
      </w:r>
    </w:p>
    <w:p w14:paraId="4D0E879A" w14:textId="77777777" w:rsidR="004E687B" w:rsidRPr="009D5489" w:rsidRDefault="004E687B" w:rsidP="006D2423">
      <w:pPr>
        <w:pStyle w:val="Default"/>
        <w:numPr>
          <w:ilvl w:val="2"/>
          <w:numId w:val="42"/>
        </w:numPr>
        <w:rPr>
          <w:color w:val="auto"/>
        </w:rPr>
      </w:pPr>
      <w:r w:rsidRPr="009D5489">
        <w:rPr>
          <w:color w:val="auto"/>
        </w:rPr>
        <w:t>Participation in a study abroad program, transformational learning activities or FIG</w:t>
      </w:r>
    </w:p>
    <w:p w14:paraId="4174F291" w14:textId="77777777" w:rsidR="00F54207" w:rsidRPr="009D5489" w:rsidRDefault="00F54207" w:rsidP="006D2423">
      <w:pPr>
        <w:pStyle w:val="Default"/>
        <w:numPr>
          <w:ilvl w:val="2"/>
          <w:numId w:val="42"/>
        </w:numPr>
        <w:rPr>
          <w:color w:val="auto"/>
        </w:rPr>
      </w:pPr>
      <w:r w:rsidRPr="009D5489">
        <w:rPr>
          <w:color w:val="auto"/>
        </w:rPr>
        <w:t xml:space="preserve">Teaching </w:t>
      </w:r>
      <w:r w:rsidR="000437CB" w:rsidRPr="009D5489">
        <w:rPr>
          <w:color w:val="auto"/>
        </w:rPr>
        <w:t xml:space="preserve">a </w:t>
      </w:r>
      <w:r w:rsidRPr="009D5489">
        <w:rPr>
          <w:color w:val="auto"/>
        </w:rPr>
        <w:t xml:space="preserve">Directed Independent Study course </w:t>
      </w:r>
      <w:r w:rsidR="00B94A9D" w:rsidRPr="009D5489">
        <w:rPr>
          <w:color w:val="auto"/>
        </w:rPr>
        <w:t>not otherwise compensated as part of a banking process.</w:t>
      </w:r>
    </w:p>
    <w:p w14:paraId="3E8A736D" w14:textId="77777777" w:rsidR="00F54207" w:rsidRPr="009D5489" w:rsidRDefault="00F54207">
      <w:pPr>
        <w:pStyle w:val="Default"/>
        <w:ind w:left="1440"/>
        <w:rPr>
          <w:color w:val="auto"/>
        </w:rPr>
      </w:pPr>
    </w:p>
    <w:p w14:paraId="607AF2C3" w14:textId="77777777" w:rsidR="004E687B" w:rsidRPr="009D5489" w:rsidRDefault="004E687B">
      <w:pPr>
        <w:pStyle w:val="Default"/>
        <w:ind w:left="1440"/>
        <w:rPr>
          <w:color w:val="auto"/>
        </w:rPr>
      </w:pPr>
    </w:p>
    <w:p w14:paraId="67C01EB2" w14:textId="77777777" w:rsidR="004E687B" w:rsidRPr="009D5489" w:rsidRDefault="004E687B" w:rsidP="006D2423">
      <w:pPr>
        <w:pStyle w:val="Default"/>
        <w:numPr>
          <w:ilvl w:val="0"/>
          <w:numId w:val="42"/>
        </w:numPr>
        <w:rPr>
          <w:color w:val="auto"/>
        </w:rPr>
      </w:pPr>
      <w:r w:rsidRPr="009D5489">
        <w:rPr>
          <w:color w:val="auto"/>
        </w:rPr>
        <w:t xml:space="preserve">Scholarship </w:t>
      </w:r>
    </w:p>
    <w:p w14:paraId="5066762B" w14:textId="77777777" w:rsidR="004E687B" w:rsidRPr="009D5489" w:rsidRDefault="004E687B">
      <w:pPr>
        <w:pStyle w:val="Default"/>
        <w:ind w:left="1440"/>
        <w:rPr>
          <w:color w:val="auto"/>
        </w:rPr>
      </w:pPr>
    </w:p>
    <w:p w14:paraId="05D031DB" w14:textId="77777777" w:rsidR="004E687B" w:rsidRPr="009D5489" w:rsidRDefault="004E687B" w:rsidP="006D2423">
      <w:pPr>
        <w:pStyle w:val="Default"/>
        <w:numPr>
          <w:ilvl w:val="7"/>
          <w:numId w:val="42"/>
        </w:numPr>
        <w:rPr>
          <w:color w:val="auto"/>
        </w:rPr>
      </w:pPr>
      <w:r w:rsidRPr="009D5489">
        <w:rPr>
          <w:color w:val="auto"/>
        </w:rPr>
        <w:t>The candidate for tenure and promotion to Associate Professor shall write, according to the CBA [section 19.8(</w:t>
      </w:r>
      <w:r w:rsidR="00390217" w:rsidRPr="009D5489">
        <w:rPr>
          <w:color w:val="auto"/>
        </w:rPr>
        <w:t>d</w:t>
      </w:r>
      <w:r w:rsidRPr="009D5489">
        <w:rPr>
          <w:color w:val="auto"/>
        </w:rPr>
        <w:t>)</w:t>
      </w:r>
      <w:r w:rsidR="00390217" w:rsidRPr="009D5489">
        <w:rPr>
          <w:color w:val="auto"/>
        </w:rPr>
        <w:t>(3)</w:t>
      </w:r>
      <w:r w:rsidRPr="009D5489">
        <w:rPr>
          <w:color w:val="auto"/>
        </w:rPr>
        <w:t>j.]</w:t>
      </w:r>
      <w:r w:rsidR="00390217" w:rsidRPr="009D5489">
        <w:rPr>
          <w:color w:val="auto"/>
        </w:rPr>
        <w:t>:</w:t>
      </w:r>
      <w:r w:rsidRPr="009D5489">
        <w:rPr>
          <w:color w:val="auto"/>
        </w:rPr>
        <w:t xml:space="preserve"> </w:t>
      </w:r>
      <w:r w:rsidR="00390217" w:rsidRPr="009D5489">
        <w:rPr>
          <w:color w:val="auto"/>
        </w:rPr>
        <w:t>“</w:t>
      </w:r>
      <w:r w:rsidRPr="009D5489">
        <w:rPr>
          <w:color w:val="auto"/>
        </w:rPr>
        <w:t>a summary and discussion by the candidate of his/her research/scholarship/creative activity, publication record, and agenda for continuing research/scholarship/creative activity.</w:t>
      </w:r>
      <w:r w:rsidR="00390217" w:rsidRPr="009D5489">
        <w:rPr>
          <w:color w:val="auto"/>
        </w:rPr>
        <w:t>”</w:t>
      </w:r>
      <w:r w:rsidRPr="009D5489">
        <w:rPr>
          <w:color w:val="auto"/>
        </w:rPr>
        <w:t xml:space="preserve"> This narrative in the main binder of the dossier should be supported by documents in the supplementary binders (copies of books, articles, letters of acceptance from journals and/or publishers, published reviews, etc.). The overall effect of the discussion and supporting materials must be to clearly demonstrate the excellence of the candidate’s research/scholarship/creative activity. </w:t>
      </w:r>
    </w:p>
    <w:p w14:paraId="1F15570F" w14:textId="77777777" w:rsidR="004E687B" w:rsidRPr="009D5489" w:rsidRDefault="004E687B">
      <w:pPr>
        <w:pStyle w:val="Default"/>
        <w:ind w:left="1080"/>
        <w:rPr>
          <w:color w:val="auto"/>
        </w:rPr>
      </w:pPr>
    </w:p>
    <w:p w14:paraId="10B98C48" w14:textId="77777777" w:rsidR="004E687B" w:rsidRPr="00DB223A" w:rsidRDefault="004E687B" w:rsidP="006D2423">
      <w:pPr>
        <w:pStyle w:val="Default"/>
        <w:numPr>
          <w:ilvl w:val="7"/>
          <w:numId w:val="42"/>
        </w:numPr>
        <w:rPr>
          <w:strike/>
          <w:color w:val="auto"/>
        </w:rPr>
      </w:pPr>
      <w:r w:rsidRPr="009D5489">
        <w:rPr>
          <w:color w:val="auto"/>
        </w:rPr>
        <w:t>The list of publications and equivalencies below is a guideline for determining achievement of excellence in research/scholarship/creative activity. It is understood that quality is the overall determining factor</w:t>
      </w:r>
      <w:r w:rsidR="00555A9E">
        <w:rPr>
          <w:color w:val="auto"/>
        </w:rPr>
        <w:t>.</w:t>
      </w:r>
    </w:p>
    <w:p w14:paraId="3947519E" w14:textId="77777777" w:rsidR="004E687B" w:rsidRPr="009D5489" w:rsidRDefault="004E687B">
      <w:pPr>
        <w:pStyle w:val="Default"/>
        <w:rPr>
          <w:color w:val="auto"/>
        </w:rPr>
      </w:pPr>
    </w:p>
    <w:p w14:paraId="0012DB5E" w14:textId="77777777" w:rsidR="004E687B" w:rsidRPr="009D5489" w:rsidRDefault="004E687B" w:rsidP="006D2423">
      <w:pPr>
        <w:pStyle w:val="Default"/>
        <w:numPr>
          <w:ilvl w:val="7"/>
          <w:numId w:val="42"/>
        </w:numPr>
        <w:rPr>
          <w:color w:val="auto"/>
        </w:rPr>
      </w:pPr>
      <w:r w:rsidRPr="009D5489">
        <w:rPr>
          <w:color w:val="auto"/>
        </w:rPr>
        <w:t xml:space="preserve">Tenure earning faculty shall have a minimum of </w:t>
      </w:r>
      <w:r w:rsidR="00790A23" w:rsidRPr="009D5489">
        <w:rPr>
          <w:color w:val="auto"/>
        </w:rPr>
        <w:t>four scholarly publications. Scholarly publications may consist of peer-reviewed journal articles, discipline-related books, or any combination of both. At least three of these must be published or accepted for publication while at UNF.</w:t>
      </w:r>
      <w:r w:rsidRPr="009D5489">
        <w:rPr>
          <w:color w:val="auto"/>
        </w:rPr>
        <w:t xml:space="preserve">  </w:t>
      </w:r>
    </w:p>
    <w:p w14:paraId="6E7644C4" w14:textId="77777777" w:rsidR="004E687B" w:rsidRPr="009D5489" w:rsidRDefault="004E687B">
      <w:pPr>
        <w:pStyle w:val="Default"/>
        <w:rPr>
          <w:color w:val="auto"/>
        </w:rPr>
      </w:pPr>
    </w:p>
    <w:p w14:paraId="4A390612" w14:textId="77777777" w:rsidR="004E687B" w:rsidRPr="009D5489" w:rsidRDefault="004E687B" w:rsidP="006D2423">
      <w:pPr>
        <w:pStyle w:val="Default"/>
        <w:numPr>
          <w:ilvl w:val="7"/>
          <w:numId w:val="42"/>
        </w:numPr>
        <w:rPr>
          <w:color w:val="auto"/>
        </w:rPr>
      </w:pPr>
      <w:r w:rsidRPr="009D5489">
        <w:rPr>
          <w:color w:val="auto"/>
        </w:rPr>
        <w:t xml:space="preserve">Tenure earning faculty shall have </w:t>
      </w:r>
      <w:r w:rsidR="000437CB" w:rsidRPr="009D5489">
        <w:rPr>
          <w:color w:val="auto"/>
        </w:rPr>
        <w:t xml:space="preserve">favorable </w:t>
      </w:r>
      <w:r w:rsidRPr="009D5489">
        <w:rPr>
          <w:color w:val="auto"/>
        </w:rPr>
        <w:t>reviews of their scholarship based on information contained in two or more outside letters submitted to the candidate’s dossier.</w:t>
      </w:r>
    </w:p>
    <w:p w14:paraId="08AAB330" w14:textId="77777777" w:rsidR="004E687B" w:rsidRPr="009D5489" w:rsidRDefault="004E687B">
      <w:pPr>
        <w:pStyle w:val="Default"/>
        <w:rPr>
          <w:color w:val="auto"/>
        </w:rPr>
      </w:pPr>
    </w:p>
    <w:p w14:paraId="17A8F954"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sz w:val="24"/>
        </w:rPr>
      </w:pPr>
    </w:p>
    <w:p w14:paraId="4871CA88" w14:textId="77777777" w:rsidR="004E687B" w:rsidRPr="009D5489" w:rsidRDefault="004E687B" w:rsidP="006D2423">
      <w:pPr>
        <w:pStyle w:val="Default"/>
        <w:numPr>
          <w:ilvl w:val="0"/>
          <w:numId w:val="42"/>
        </w:numPr>
        <w:rPr>
          <w:color w:val="auto"/>
        </w:rPr>
      </w:pPr>
      <w:r w:rsidRPr="009D5489">
        <w:rPr>
          <w:color w:val="auto"/>
        </w:rPr>
        <w:t xml:space="preserve">Service </w:t>
      </w:r>
    </w:p>
    <w:p w14:paraId="50739407" w14:textId="77777777" w:rsidR="00555A9E" w:rsidRDefault="00555A9E">
      <w:pPr>
        <w:pStyle w:val="Default"/>
        <w:ind w:left="1080"/>
        <w:rPr>
          <w:strike/>
          <w:color w:val="auto"/>
        </w:rPr>
      </w:pPr>
    </w:p>
    <w:p w14:paraId="7D02BB76" w14:textId="77777777" w:rsidR="004E687B" w:rsidRPr="009D5489" w:rsidRDefault="004E687B" w:rsidP="006D2423">
      <w:pPr>
        <w:pStyle w:val="Default"/>
        <w:numPr>
          <w:ilvl w:val="3"/>
          <w:numId w:val="42"/>
        </w:numPr>
        <w:rPr>
          <w:color w:val="auto"/>
        </w:rPr>
      </w:pPr>
      <w:r w:rsidRPr="009D5489">
        <w:rPr>
          <w:color w:val="auto"/>
        </w:rPr>
        <w:t xml:space="preserve">The candidate for tenure and promotion to Associate Professor shall provide evidence of “meaningful contributions” over the course of the tenure-earning period by indicating the Professional, University, College, or Departmental committees/service activities he/she has served on or engaged in. </w:t>
      </w:r>
    </w:p>
    <w:p w14:paraId="6CDEA5C9"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p>
    <w:p w14:paraId="348AFD0B" w14:textId="77777777" w:rsidR="004E687B" w:rsidRPr="009D5489" w:rsidRDefault="004E687B">
      <w:pPr>
        <w:widowControl/>
        <w:tabs>
          <w:tab w:val="center" w:pos="4680"/>
          <w:tab w:val="left" w:pos="4800"/>
          <w:tab w:val="left" w:pos="5400"/>
          <w:tab w:val="left" w:pos="6000"/>
          <w:tab w:val="left" w:pos="6600"/>
          <w:tab w:val="left" w:pos="7200"/>
          <w:tab w:val="left" w:pos="7800"/>
          <w:tab w:val="left" w:pos="8400"/>
          <w:tab w:val="left" w:pos="9000"/>
        </w:tabs>
        <w:rPr>
          <w:sz w:val="24"/>
        </w:rPr>
      </w:pPr>
      <w:r w:rsidRPr="009D5489">
        <w:rPr>
          <w:sz w:val="24"/>
        </w:rPr>
        <w:tab/>
      </w:r>
    </w:p>
    <w:p w14:paraId="531A4D8F" w14:textId="77777777" w:rsidR="004E687B" w:rsidRPr="009D5489" w:rsidRDefault="004E687B" w:rsidP="006D2423">
      <w:pPr>
        <w:pStyle w:val="Heading2"/>
      </w:pPr>
      <w:r w:rsidRPr="009D5489">
        <w:tab/>
        <w:t xml:space="preserve"> ARTICLE </w:t>
      </w:r>
      <w:r w:rsidR="002B49DF">
        <w:t>II</w:t>
      </w:r>
    </w:p>
    <w:p w14:paraId="331E5A7D"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b/>
          <w:bCs/>
          <w:sz w:val="24"/>
        </w:rPr>
      </w:pPr>
    </w:p>
    <w:p w14:paraId="2E824AB3" w14:textId="77777777" w:rsidR="004E687B" w:rsidRPr="009D5489" w:rsidRDefault="004E687B" w:rsidP="006D2423">
      <w:pPr>
        <w:pStyle w:val="Heading3"/>
      </w:pPr>
      <w:r w:rsidRPr="009D5489">
        <w:rPr>
          <w:b/>
        </w:rPr>
        <w:tab/>
      </w:r>
      <w:r w:rsidRPr="009D5489">
        <w:t xml:space="preserve">PROMOTION FROM ASSOCIATE PROFESSOR TO FULL PROFESSOR </w:t>
      </w:r>
    </w:p>
    <w:p w14:paraId="57786DF9" w14:textId="77777777" w:rsidR="004E687B" w:rsidRPr="009D5489" w:rsidRDefault="004E687B">
      <w:pPr>
        <w:widowControl/>
        <w:tabs>
          <w:tab w:val="center" w:pos="4680"/>
          <w:tab w:val="left" w:pos="4800"/>
          <w:tab w:val="left" w:pos="5400"/>
          <w:tab w:val="left" w:pos="6000"/>
          <w:tab w:val="left" w:pos="6600"/>
          <w:tab w:val="left" w:pos="7200"/>
          <w:tab w:val="left" w:pos="7800"/>
          <w:tab w:val="left" w:pos="8400"/>
          <w:tab w:val="left" w:pos="9000"/>
        </w:tabs>
        <w:rPr>
          <w:b/>
          <w:bCs/>
          <w:sz w:val="24"/>
        </w:rPr>
      </w:pPr>
      <w:r w:rsidRPr="009D5489">
        <w:rPr>
          <w:b/>
          <w:bCs/>
          <w:sz w:val="24"/>
        </w:rPr>
        <w:tab/>
      </w:r>
    </w:p>
    <w:p w14:paraId="421FC518" w14:textId="77777777" w:rsidR="004E687B" w:rsidRPr="009D5489" w:rsidRDefault="002B49DF">
      <w:pPr>
        <w:pStyle w:val="Default"/>
        <w:ind w:left="720"/>
        <w:rPr>
          <w:color w:val="auto"/>
        </w:rPr>
      </w:pPr>
      <w:r>
        <w:rPr>
          <w:color w:val="auto"/>
        </w:rPr>
        <w:t>A</w:t>
      </w:r>
      <w:r w:rsidR="004E687B" w:rsidRPr="009D5489">
        <w:rPr>
          <w:color w:val="auto"/>
        </w:rPr>
        <w:t xml:space="preserve">ccording to the CBA, section </w:t>
      </w:r>
      <w:r w:rsidR="00C61394" w:rsidRPr="009D5489">
        <w:rPr>
          <w:color w:val="auto"/>
        </w:rPr>
        <w:t>9</w:t>
      </w:r>
      <w:r w:rsidR="004E687B" w:rsidRPr="009D5489">
        <w:rPr>
          <w:color w:val="auto"/>
        </w:rPr>
        <w:t>.</w:t>
      </w:r>
      <w:r w:rsidR="00C61394" w:rsidRPr="009D5489">
        <w:rPr>
          <w:color w:val="auto"/>
        </w:rPr>
        <w:t>4</w:t>
      </w:r>
      <w:r w:rsidR="004E687B" w:rsidRPr="009D5489">
        <w:rPr>
          <w:color w:val="auto"/>
        </w:rPr>
        <w:t xml:space="preserve"> </w:t>
      </w:r>
      <w:r w:rsidR="00C61394" w:rsidRPr="009D5489">
        <w:rPr>
          <w:color w:val="auto"/>
        </w:rPr>
        <w:t>Guidelines for Application of University Criteria for Promotion</w:t>
      </w:r>
      <w:r w:rsidR="004E687B" w:rsidRPr="009D5489">
        <w:rPr>
          <w:color w:val="auto"/>
        </w:rPr>
        <w:t xml:space="preserve">:  Judgments of academic performance are complex. They cannot easily be reduced to a quantitative formula, nor can the considerations that must be applied in each individual case be completely described in general terms or by numbers alone, separate from necessary qualitative assessments. On the other hand, faculty members seeking promotion must have available to them a description of what tangible accomplishments would normally qualify a candidate for promotion, assuming that the accomplishments are of </w:t>
      </w:r>
      <w:r w:rsidR="00C61394" w:rsidRPr="009D5489">
        <w:rPr>
          <w:color w:val="auto"/>
        </w:rPr>
        <w:t xml:space="preserve">excellent (promotion from Assistant Professor to Associate Professor) or outstanding (promotion from Associate Professor to Professor) </w:t>
      </w:r>
      <w:r w:rsidR="004E687B" w:rsidRPr="009D5489">
        <w:rPr>
          <w:color w:val="auto"/>
        </w:rPr>
        <w:t>quality.</w:t>
      </w:r>
    </w:p>
    <w:p w14:paraId="57D9092D" w14:textId="77777777" w:rsidR="001F340C" w:rsidRPr="009D5489" w:rsidRDefault="001F340C">
      <w:pPr>
        <w:pStyle w:val="Default"/>
        <w:ind w:left="720"/>
        <w:rPr>
          <w:color w:val="auto"/>
        </w:rPr>
      </w:pPr>
    </w:p>
    <w:p w14:paraId="3C41ECEC" w14:textId="77777777" w:rsidR="001F340C" w:rsidRPr="009D5489" w:rsidRDefault="001F340C" w:rsidP="001A7C18">
      <w:pPr>
        <w:ind w:left="720"/>
        <w:rPr>
          <w:sz w:val="24"/>
        </w:rPr>
      </w:pPr>
      <w:proofErr w:type="gramStart"/>
      <w:r w:rsidRPr="009D5489">
        <w:rPr>
          <w:sz w:val="24"/>
        </w:rPr>
        <w:t>Thus</w:t>
      </w:r>
      <w:proofErr w:type="gramEnd"/>
      <w:r w:rsidRPr="009D5489">
        <w:rPr>
          <w:sz w:val="24"/>
        </w:rPr>
        <w:t xml:space="preserve"> these </w:t>
      </w:r>
      <w:r w:rsidR="00290ABF" w:rsidRPr="009D5489">
        <w:rPr>
          <w:sz w:val="24"/>
        </w:rPr>
        <w:t xml:space="preserve">guidelines </w:t>
      </w:r>
      <w:r w:rsidRPr="009D5489">
        <w:rPr>
          <w:sz w:val="24"/>
        </w:rPr>
        <w:t xml:space="preserve">are intended to demonstrate the breadth, scope and type of accomplishments expected for promotion to Professor.  Accumulating the number of contributions suggested in the </w:t>
      </w:r>
      <w:r w:rsidR="00290ABF" w:rsidRPr="009D5489">
        <w:rPr>
          <w:sz w:val="24"/>
        </w:rPr>
        <w:t xml:space="preserve">guidelines </w:t>
      </w:r>
      <w:r w:rsidRPr="009D5489">
        <w:rPr>
          <w:sz w:val="24"/>
        </w:rPr>
        <w:t xml:space="preserve">will not in itself guarantee promotion because determining whether an individual has demonstrated an </w:t>
      </w:r>
      <w:r w:rsidR="00290ABF" w:rsidRPr="009D5489">
        <w:rPr>
          <w:sz w:val="24"/>
        </w:rPr>
        <w:t>outstanding</w:t>
      </w:r>
      <w:r w:rsidRPr="009D5489">
        <w:rPr>
          <w:sz w:val="24"/>
        </w:rPr>
        <w:t xml:space="preserve"> level in teaching and scholarship and made meaningful contributions in service will require judgments of both the quantity and quality of the accomplishments by reviewers at each step of the process.  For this </w:t>
      </w:r>
      <w:proofErr w:type="gramStart"/>
      <w:r w:rsidRPr="009D5489">
        <w:rPr>
          <w:sz w:val="24"/>
        </w:rPr>
        <w:t>reason</w:t>
      </w:r>
      <w:proofErr w:type="gramEnd"/>
      <w:r w:rsidRPr="009D5489">
        <w:rPr>
          <w:sz w:val="24"/>
        </w:rPr>
        <w:t xml:space="preserve"> the </w:t>
      </w:r>
      <w:r w:rsidR="00290ABF" w:rsidRPr="009D5489">
        <w:rPr>
          <w:sz w:val="24"/>
        </w:rPr>
        <w:t xml:space="preserve">guidelines </w:t>
      </w:r>
      <w:r w:rsidRPr="009D5489">
        <w:rPr>
          <w:sz w:val="24"/>
        </w:rPr>
        <w:t>should be viewed as guideposts to inform individuals seeking promotion but are not intended as a check sheet that will automatically result in promotion.</w:t>
      </w:r>
    </w:p>
    <w:p w14:paraId="482AF0F3" w14:textId="77777777" w:rsidR="001F340C" w:rsidRPr="009D5489" w:rsidRDefault="001F340C">
      <w:pPr>
        <w:pStyle w:val="Default"/>
        <w:ind w:left="720"/>
        <w:rPr>
          <w:color w:val="auto"/>
        </w:rPr>
      </w:pPr>
    </w:p>
    <w:p w14:paraId="326A849A" w14:textId="77777777" w:rsidR="004E687B" w:rsidRPr="009D5489" w:rsidRDefault="004E687B">
      <w:pPr>
        <w:pStyle w:val="Default"/>
        <w:ind w:left="720"/>
        <w:rPr>
          <w:color w:val="auto"/>
        </w:rPr>
      </w:pPr>
    </w:p>
    <w:p w14:paraId="3B6DD81F" w14:textId="77777777" w:rsidR="004E687B" w:rsidRPr="009D5489" w:rsidRDefault="004E687B">
      <w:pPr>
        <w:pStyle w:val="Default"/>
        <w:ind w:left="720"/>
        <w:rPr>
          <w:color w:val="auto"/>
        </w:rPr>
      </w:pPr>
      <w:r w:rsidRPr="009D5489">
        <w:rPr>
          <w:color w:val="auto"/>
        </w:rPr>
        <w:lastRenderedPageBreak/>
        <w:t xml:space="preserve">It is expected that the faculty member will provide evidence of the accomplishments that justify the granting of promotion to Professor, and it is understood that it is the responsibility of the reviewers of the dossier to make some qualitative assessments. </w:t>
      </w:r>
    </w:p>
    <w:p w14:paraId="0008DE61"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p>
    <w:p w14:paraId="6F47DCCB"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p>
    <w:p w14:paraId="32EE425F" w14:textId="77777777" w:rsidR="004E687B" w:rsidRPr="009D5489" w:rsidRDefault="004E687B">
      <w:pPr>
        <w:pStyle w:val="Default"/>
        <w:rPr>
          <w:color w:val="auto"/>
        </w:rPr>
      </w:pPr>
      <w:r w:rsidRPr="009D5489">
        <w:rPr>
          <w:color w:val="auto"/>
        </w:rPr>
        <w:t xml:space="preserve">2.  Teaching. </w:t>
      </w:r>
    </w:p>
    <w:p w14:paraId="797509E7" w14:textId="77777777" w:rsidR="004E687B" w:rsidRPr="009D5489" w:rsidRDefault="004E687B">
      <w:pPr>
        <w:pStyle w:val="Default"/>
        <w:ind w:left="720"/>
        <w:rPr>
          <w:color w:val="auto"/>
        </w:rPr>
      </w:pPr>
    </w:p>
    <w:p w14:paraId="1A09E97E" w14:textId="77777777" w:rsidR="004E687B" w:rsidRPr="009D5489" w:rsidRDefault="002B49DF">
      <w:pPr>
        <w:pStyle w:val="Default"/>
        <w:ind w:left="720"/>
        <w:rPr>
          <w:color w:val="auto"/>
        </w:rPr>
      </w:pPr>
      <w:r>
        <w:rPr>
          <w:color w:val="auto"/>
        </w:rPr>
        <w:t>a</w:t>
      </w:r>
      <w:r w:rsidR="004E687B" w:rsidRPr="009D5489">
        <w:rPr>
          <w:color w:val="auto"/>
        </w:rPr>
        <w:t>. The candidate for promotion to Professor shall write, according to the CBA [section 20.6 directs the candidate to section 19.</w:t>
      </w:r>
      <w:r w:rsidR="00851BDF" w:rsidRPr="009D5489">
        <w:rPr>
          <w:color w:val="auto"/>
        </w:rPr>
        <w:t>7</w:t>
      </w:r>
      <w:r w:rsidR="004E687B" w:rsidRPr="009D5489">
        <w:rPr>
          <w:color w:val="auto"/>
        </w:rPr>
        <w:t>(</w:t>
      </w:r>
      <w:r w:rsidR="00851BDF" w:rsidRPr="009D5489">
        <w:rPr>
          <w:color w:val="auto"/>
        </w:rPr>
        <w:t>b</w:t>
      </w:r>
      <w:r w:rsidR="004E687B" w:rsidRPr="009D5489">
        <w:rPr>
          <w:color w:val="auto"/>
        </w:rPr>
        <w:t>)</w:t>
      </w:r>
      <w:r w:rsidR="00D75D6B" w:rsidRPr="009D5489">
        <w:rPr>
          <w:color w:val="auto"/>
        </w:rPr>
        <w:t xml:space="preserve"> </w:t>
      </w:r>
      <w:r w:rsidR="00851BDF" w:rsidRPr="009D5489">
        <w:rPr>
          <w:color w:val="auto"/>
        </w:rPr>
        <w:t>3</w:t>
      </w:r>
      <w:r w:rsidR="004E687B" w:rsidRPr="009D5489">
        <w:rPr>
          <w:color w:val="auto"/>
        </w:rPr>
        <w:t xml:space="preserve">.], a summary and discussion … of significant teaching and curriculum efforts, including but not limited to a summary of evaluations of his/her teaching by students and academic colleagues through University-sanctioned methods such as survey instruments, questionnaires, and in-class visitations, observations, and interviews. This narrative in the main binder of the dossier and the supporting documents (syllabi and other instructional materials) in the supplementary binders should address and </w:t>
      </w:r>
      <w:proofErr w:type="gramStart"/>
      <w:r w:rsidR="004E687B" w:rsidRPr="009D5489">
        <w:rPr>
          <w:color w:val="auto"/>
        </w:rPr>
        <w:t>take into account</w:t>
      </w:r>
      <w:proofErr w:type="gramEnd"/>
      <w:r w:rsidR="004E687B" w:rsidRPr="009D5489">
        <w:rPr>
          <w:color w:val="auto"/>
        </w:rPr>
        <w:t xml:space="preserve"> </w:t>
      </w:r>
      <w:r w:rsidR="00702164">
        <w:rPr>
          <w:color w:val="auto"/>
        </w:rPr>
        <w:t xml:space="preserve">items required by the CBA and </w:t>
      </w:r>
      <w:r w:rsidR="004E687B" w:rsidRPr="009D5489">
        <w:rPr>
          <w:color w:val="auto"/>
        </w:rPr>
        <w:t xml:space="preserve">the items in the list below. It is understood that not every item on the list, except those mandated by the CBA, must necessarily be included, nor is the list itself exhaustive, but the overall effect of the discussion and supporting materials </w:t>
      </w:r>
      <w:r w:rsidR="00927DFC" w:rsidRPr="009D5489">
        <w:rPr>
          <w:color w:val="auto"/>
        </w:rPr>
        <w:t xml:space="preserve">shall </w:t>
      </w:r>
      <w:r w:rsidR="004E687B" w:rsidRPr="009D5489">
        <w:rPr>
          <w:color w:val="auto"/>
        </w:rPr>
        <w:t xml:space="preserve">clearly demonstrate </w:t>
      </w:r>
      <w:r w:rsidR="00B266CB" w:rsidRPr="009D5489">
        <w:rPr>
          <w:color w:val="auto"/>
        </w:rPr>
        <w:t>excellent</w:t>
      </w:r>
      <w:r w:rsidR="004E687B" w:rsidRPr="009D5489">
        <w:rPr>
          <w:color w:val="auto"/>
        </w:rPr>
        <w:t xml:space="preserve"> effectiveness of the candidate’s teaching. Basic activities such as maintenance of regularly scheduled office hours and availability for student conferences by appointment are taken as a given. </w:t>
      </w:r>
    </w:p>
    <w:p w14:paraId="094F42F2" w14:textId="77777777" w:rsidR="004E687B" w:rsidRPr="009D5489" w:rsidRDefault="004E687B">
      <w:pPr>
        <w:pStyle w:val="Default"/>
        <w:ind w:firstLine="720"/>
        <w:rPr>
          <w:color w:val="auto"/>
        </w:rPr>
      </w:pPr>
    </w:p>
    <w:p w14:paraId="40C7EBEC" w14:textId="77777777" w:rsidR="004E687B" w:rsidRPr="009D5489" w:rsidRDefault="004E687B">
      <w:pPr>
        <w:pStyle w:val="Default"/>
        <w:ind w:left="1440"/>
        <w:rPr>
          <w:color w:val="auto"/>
        </w:rPr>
      </w:pPr>
      <w:r w:rsidRPr="009D5489">
        <w:rPr>
          <w:color w:val="auto"/>
        </w:rPr>
        <w:t xml:space="preserve">(1) Courses that have been innovative, relevant, creative, and/or showed an original approach to teaching, and/or incorporated instructional technology, collaborative learning, active learning, student engagement or other non-traditional teaching methods </w:t>
      </w:r>
    </w:p>
    <w:p w14:paraId="50B28471" w14:textId="77777777" w:rsidR="004E687B" w:rsidRPr="009D5489" w:rsidRDefault="004E687B">
      <w:pPr>
        <w:pStyle w:val="Default"/>
        <w:ind w:left="720" w:firstLine="720"/>
        <w:rPr>
          <w:color w:val="auto"/>
        </w:rPr>
      </w:pPr>
      <w:r w:rsidRPr="009D5489">
        <w:rPr>
          <w:color w:val="auto"/>
        </w:rPr>
        <w:t>(2) Program and/or curriculum development</w:t>
      </w:r>
    </w:p>
    <w:p w14:paraId="6B8FB65E" w14:textId="77777777" w:rsidR="000437CB" w:rsidRPr="009D5489" w:rsidRDefault="004E687B">
      <w:pPr>
        <w:pStyle w:val="Default"/>
        <w:ind w:left="720" w:firstLine="720"/>
        <w:rPr>
          <w:color w:val="auto"/>
        </w:rPr>
      </w:pPr>
      <w:r w:rsidRPr="009D5489">
        <w:rPr>
          <w:color w:val="auto"/>
        </w:rPr>
        <w:t xml:space="preserve">(3) Creation of new courses </w:t>
      </w:r>
    </w:p>
    <w:p w14:paraId="035433C1" w14:textId="77777777" w:rsidR="004E687B" w:rsidRPr="009D5489" w:rsidRDefault="004E687B">
      <w:pPr>
        <w:pStyle w:val="Default"/>
        <w:ind w:left="720" w:firstLine="720"/>
        <w:rPr>
          <w:color w:val="auto"/>
        </w:rPr>
      </w:pPr>
      <w:r w:rsidRPr="009D5489">
        <w:rPr>
          <w:color w:val="auto"/>
        </w:rPr>
        <w:t xml:space="preserve">(4) Revision of existing courses </w:t>
      </w:r>
    </w:p>
    <w:p w14:paraId="5052337A" w14:textId="77777777" w:rsidR="004E687B" w:rsidRPr="009D5489" w:rsidRDefault="004E687B">
      <w:pPr>
        <w:pStyle w:val="Default"/>
        <w:ind w:left="1440"/>
        <w:rPr>
          <w:color w:val="auto"/>
        </w:rPr>
      </w:pPr>
      <w:r w:rsidRPr="009D5489">
        <w:rPr>
          <w:color w:val="auto"/>
        </w:rPr>
        <w:t>(5) Participation in conferences, workshops and committees on teaching, learning and pedagogy</w:t>
      </w:r>
    </w:p>
    <w:p w14:paraId="7C8DAA48" w14:textId="77777777" w:rsidR="004E687B" w:rsidRPr="009D5489" w:rsidRDefault="004E687B">
      <w:pPr>
        <w:pStyle w:val="Default"/>
        <w:ind w:left="720" w:firstLine="720"/>
        <w:rPr>
          <w:color w:val="auto"/>
        </w:rPr>
      </w:pPr>
      <w:r w:rsidRPr="009D5489">
        <w:rPr>
          <w:color w:val="auto"/>
        </w:rPr>
        <w:t xml:space="preserve">(6) Evaluations by chairperson </w:t>
      </w:r>
    </w:p>
    <w:p w14:paraId="61CA90A1" w14:textId="77777777" w:rsidR="004E687B" w:rsidRPr="009D5489" w:rsidRDefault="004E687B">
      <w:pPr>
        <w:pStyle w:val="Default"/>
        <w:ind w:left="720" w:firstLine="720"/>
        <w:rPr>
          <w:color w:val="auto"/>
        </w:rPr>
      </w:pPr>
      <w:r w:rsidRPr="009D5489">
        <w:rPr>
          <w:color w:val="auto"/>
        </w:rPr>
        <w:t xml:space="preserve">(7) Evaluations by peers </w:t>
      </w:r>
    </w:p>
    <w:p w14:paraId="331B4FB9" w14:textId="77777777" w:rsidR="004E687B" w:rsidRPr="009D5489" w:rsidRDefault="004E687B">
      <w:pPr>
        <w:pStyle w:val="Default"/>
        <w:ind w:left="1440"/>
        <w:rPr>
          <w:color w:val="auto"/>
        </w:rPr>
      </w:pPr>
      <w:r w:rsidRPr="009D5489">
        <w:rPr>
          <w:color w:val="auto"/>
        </w:rPr>
        <w:t>(</w:t>
      </w:r>
      <w:r w:rsidR="00702164">
        <w:rPr>
          <w:color w:val="auto"/>
        </w:rPr>
        <w:t>8</w:t>
      </w:r>
      <w:r w:rsidRPr="009D5489">
        <w:rPr>
          <w:color w:val="auto"/>
        </w:rPr>
        <w:t xml:space="preserve">) Responsiveness to evaluations of teaching by chair(s), peers, and/or students including self-reflection on effectiveness and attempts to improve where necessary </w:t>
      </w:r>
    </w:p>
    <w:p w14:paraId="39CE40E0" w14:textId="77777777" w:rsidR="004E687B" w:rsidRPr="009D5489" w:rsidRDefault="004E687B">
      <w:pPr>
        <w:pStyle w:val="Default"/>
        <w:ind w:left="1440"/>
        <w:rPr>
          <w:color w:val="auto"/>
        </w:rPr>
      </w:pPr>
      <w:r w:rsidRPr="009D5489">
        <w:rPr>
          <w:color w:val="auto"/>
        </w:rPr>
        <w:t>(</w:t>
      </w:r>
      <w:r w:rsidR="00702164">
        <w:rPr>
          <w:color w:val="auto"/>
        </w:rPr>
        <w:t>9</w:t>
      </w:r>
      <w:r w:rsidRPr="009D5489">
        <w:rPr>
          <w:color w:val="auto"/>
        </w:rPr>
        <w:t>) Supporting or mentoring student accomplishments directly related teaching</w:t>
      </w:r>
    </w:p>
    <w:p w14:paraId="389BB4F5" w14:textId="77777777" w:rsidR="004E687B" w:rsidRPr="009D5489" w:rsidRDefault="004E687B">
      <w:pPr>
        <w:pStyle w:val="Default"/>
        <w:ind w:left="1440"/>
        <w:rPr>
          <w:color w:val="auto"/>
        </w:rPr>
      </w:pPr>
      <w:r w:rsidRPr="009D5489">
        <w:rPr>
          <w:color w:val="auto"/>
        </w:rPr>
        <w:t>(1</w:t>
      </w:r>
      <w:r w:rsidR="00702164">
        <w:rPr>
          <w:color w:val="auto"/>
        </w:rPr>
        <w:t>0</w:t>
      </w:r>
      <w:r w:rsidRPr="009D5489">
        <w:rPr>
          <w:color w:val="auto"/>
        </w:rPr>
        <w:t xml:space="preserve">) Development of activities for students that support the University’s and Department’s program, curriculum and assurance of learning objectives </w:t>
      </w:r>
    </w:p>
    <w:p w14:paraId="4879DDD7" w14:textId="77777777" w:rsidR="004E687B" w:rsidRPr="009D5489" w:rsidRDefault="004E687B">
      <w:pPr>
        <w:pStyle w:val="Default"/>
        <w:ind w:left="720" w:firstLine="720"/>
        <w:rPr>
          <w:color w:val="auto"/>
        </w:rPr>
      </w:pPr>
      <w:r w:rsidRPr="009D5489">
        <w:rPr>
          <w:color w:val="auto"/>
        </w:rPr>
        <w:t>(1</w:t>
      </w:r>
      <w:r w:rsidR="00702164">
        <w:rPr>
          <w:color w:val="auto"/>
        </w:rPr>
        <w:t>1</w:t>
      </w:r>
      <w:r w:rsidRPr="009D5489">
        <w:rPr>
          <w:color w:val="auto"/>
        </w:rPr>
        <w:t>) Teaching award</w:t>
      </w:r>
    </w:p>
    <w:p w14:paraId="06405BD9" w14:textId="77777777" w:rsidR="004E687B" w:rsidRPr="009D5489" w:rsidRDefault="004E687B">
      <w:pPr>
        <w:pStyle w:val="Default"/>
        <w:ind w:left="1440"/>
        <w:rPr>
          <w:color w:val="auto"/>
        </w:rPr>
      </w:pPr>
      <w:r w:rsidRPr="009D5489">
        <w:rPr>
          <w:color w:val="auto"/>
        </w:rPr>
        <w:t>(1</w:t>
      </w:r>
      <w:r w:rsidR="00702164">
        <w:rPr>
          <w:color w:val="auto"/>
        </w:rPr>
        <w:t>2</w:t>
      </w:r>
      <w:r w:rsidRPr="009D5489">
        <w:rPr>
          <w:color w:val="auto"/>
        </w:rPr>
        <w:t>) Scholarship of teaching such as publication of a research on topics including pedagogy and student learning</w:t>
      </w:r>
    </w:p>
    <w:p w14:paraId="6E104608" w14:textId="77777777" w:rsidR="004E687B" w:rsidRPr="009D5489" w:rsidRDefault="004E687B">
      <w:pPr>
        <w:pStyle w:val="Default"/>
        <w:ind w:left="1440"/>
        <w:rPr>
          <w:color w:val="auto"/>
        </w:rPr>
      </w:pPr>
      <w:r w:rsidRPr="009D5489">
        <w:rPr>
          <w:color w:val="auto"/>
        </w:rPr>
        <w:t>(1</w:t>
      </w:r>
      <w:r w:rsidR="00702164">
        <w:rPr>
          <w:color w:val="auto"/>
        </w:rPr>
        <w:t>3</w:t>
      </w:r>
      <w:r w:rsidRPr="009D5489">
        <w:rPr>
          <w:color w:val="auto"/>
        </w:rPr>
        <w:t>) Participation in a study abroad program, transformational learning activities or FIG</w:t>
      </w:r>
    </w:p>
    <w:p w14:paraId="015B9593" w14:textId="77777777" w:rsidR="000437CB" w:rsidRPr="009D5489" w:rsidRDefault="000437CB" w:rsidP="000437CB">
      <w:pPr>
        <w:pStyle w:val="Default"/>
        <w:ind w:left="720" w:firstLine="720"/>
        <w:rPr>
          <w:color w:val="auto"/>
        </w:rPr>
      </w:pPr>
      <w:r w:rsidRPr="009D5489">
        <w:rPr>
          <w:color w:val="auto"/>
        </w:rPr>
        <w:t>(1</w:t>
      </w:r>
      <w:r w:rsidR="00702164">
        <w:rPr>
          <w:color w:val="auto"/>
        </w:rPr>
        <w:t>4</w:t>
      </w:r>
      <w:r w:rsidRPr="009D5489">
        <w:rPr>
          <w:color w:val="auto"/>
        </w:rPr>
        <w:t xml:space="preserve">) Teaching a Directed Independent Study course </w:t>
      </w:r>
    </w:p>
    <w:p w14:paraId="3185D4D6" w14:textId="77777777" w:rsidR="000437CB" w:rsidRPr="009D5489" w:rsidRDefault="000437CB">
      <w:pPr>
        <w:pStyle w:val="Default"/>
        <w:ind w:left="1440"/>
        <w:rPr>
          <w:color w:val="auto"/>
        </w:rPr>
      </w:pPr>
    </w:p>
    <w:p w14:paraId="7642E491"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p>
    <w:p w14:paraId="7F47774F"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p>
    <w:p w14:paraId="73B91831" w14:textId="77777777" w:rsidR="004E687B" w:rsidRPr="009D5489" w:rsidRDefault="004E687B">
      <w:pPr>
        <w:pStyle w:val="Default"/>
        <w:rPr>
          <w:color w:val="auto"/>
        </w:rPr>
      </w:pPr>
      <w:r w:rsidRPr="009D5489">
        <w:rPr>
          <w:color w:val="auto"/>
        </w:rPr>
        <w:t xml:space="preserve">3.  Scholarship. </w:t>
      </w:r>
    </w:p>
    <w:p w14:paraId="1EE211CE" w14:textId="77777777" w:rsidR="004E687B" w:rsidRPr="009D5489" w:rsidRDefault="004E687B">
      <w:pPr>
        <w:pStyle w:val="Default"/>
        <w:ind w:left="720"/>
        <w:rPr>
          <w:color w:val="auto"/>
        </w:rPr>
      </w:pPr>
    </w:p>
    <w:p w14:paraId="61D1C501" w14:textId="77777777" w:rsidR="004E687B" w:rsidRPr="009D5489" w:rsidRDefault="00702164">
      <w:pPr>
        <w:pStyle w:val="Default"/>
        <w:ind w:left="720"/>
        <w:rPr>
          <w:color w:val="auto"/>
        </w:rPr>
      </w:pPr>
      <w:r>
        <w:rPr>
          <w:color w:val="auto"/>
        </w:rPr>
        <w:t>a</w:t>
      </w:r>
      <w:r w:rsidR="004E687B" w:rsidRPr="009D5489">
        <w:rPr>
          <w:color w:val="auto"/>
        </w:rPr>
        <w:t xml:space="preserve">. The candidate for promotion to Professor shall write, according to the CBA [section 20.6 directs the candidate to section 19.8(e)j.] a summary and discussion by the candidate of his/her research/scholarship/creative activity, publication record, and agenda for continuing research/scholarship/creative activity. This narrative in the main binder of the dossier should be supported by documents in the supplementary binders (copies of books, articles, letters of acceptance from journals and/or publishers, published reviews, etc.). The overall effect of the discussion and supporting materials </w:t>
      </w:r>
      <w:r w:rsidR="00927DFC" w:rsidRPr="009D5489">
        <w:rPr>
          <w:color w:val="auto"/>
        </w:rPr>
        <w:t>shall</w:t>
      </w:r>
      <w:r w:rsidR="004E687B" w:rsidRPr="009D5489">
        <w:rPr>
          <w:color w:val="auto"/>
        </w:rPr>
        <w:t xml:space="preserve"> clearly demonstrate </w:t>
      </w:r>
      <w:r w:rsidR="00B266CB" w:rsidRPr="009D5489">
        <w:rPr>
          <w:color w:val="auto"/>
        </w:rPr>
        <w:t>excellent</w:t>
      </w:r>
      <w:r w:rsidR="004E687B" w:rsidRPr="009D5489">
        <w:rPr>
          <w:color w:val="auto"/>
        </w:rPr>
        <w:t xml:space="preserve"> quality of the candidate’s research/scholarship/creative activity. </w:t>
      </w:r>
    </w:p>
    <w:p w14:paraId="477FA7E8" w14:textId="77777777" w:rsidR="004E687B" w:rsidRPr="009D5489" w:rsidRDefault="004E687B">
      <w:pPr>
        <w:pStyle w:val="Default"/>
        <w:rPr>
          <w:color w:val="auto"/>
        </w:rPr>
      </w:pPr>
    </w:p>
    <w:p w14:paraId="07594261" w14:textId="77777777" w:rsidR="004E687B" w:rsidRPr="009D5489" w:rsidRDefault="00702164">
      <w:pPr>
        <w:pStyle w:val="Default"/>
        <w:ind w:left="720"/>
        <w:rPr>
          <w:color w:val="auto"/>
        </w:rPr>
      </w:pPr>
      <w:r>
        <w:rPr>
          <w:color w:val="auto"/>
        </w:rPr>
        <w:t>b</w:t>
      </w:r>
      <w:r w:rsidR="004E687B" w:rsidRPr="009D5489">
        <w:rPr>
          <w:color w:val="auto"/>
        </w:rPr>
        <w:t xml:space="preserve">. Faculty seeking promotion to Professor shall have a minimum of 7 </w:t>
      </w:r>
      <w:r w:rsidR="00790A23" w:rsidRPr="009D5489">
        <w:rPr>
          <w:color w:val="auto"/>
        </w:rPr>
        <w:t>scholarly publications while holding the rank of Associate Professor.  Scholarly publications may consist of peer-reviewed journal articles, discipline-related books, or any combination of both. At least three of these must be published or accepted for publication while at UNF</w:t>
      </w:r>
      <w:r w:rsidR="001D7465" w:rsidRPr="009D5489">
        <w:rPr>
          <w:rStyle w:val="CommentReference"/>
          <w:color w:val="auto"/>
        </w:rPr>
        <w:t xml:space="preserve">. </w:t>
      </w:r>
      <w:r w:rsidR="004E687B" w:rsidRPr="009D5489">
        <w:rPr>
          <w:color w:val="auto"/>
        </w:rPr>
        <w:t xml:space="preserve"> It is understood that scholarship quality is the overall determining factor, as per the CBA [20.3(c)</w:t>
      </w:r>
      <w:r w:rsidR="001D7465" w:rsidRPr="009D5489">
        <w:rPr>
          <w:color w:val="auto"/>
        </w:rPr>
        <w:t xml:space="preserve"> </w:t>
      </w:r>
      <w:r w:rsidR="004E687B" w:rsidRPr="009D5489">
        <w:rPr>
          <w:color w:val="auto"/>
        </w:rPr>
        <w:t>(1)b.2.]: It should be understood that merely having accomplishments within the qualifying general range without the required standard of “</w:t>
      </w:r>
      <w:r w:rsidR="00B266CB" w:rsidRPr="009D5489">
        <w:rPr>
          <w:color w:val="auto"/>
        </w:rPr>
        <w:t>excellence</w:t>
      </w:r>
      <w:r w:rsidR="004E687B" w:rsidRPr="009D5489">
        <w:rPr>
          <w:color w:val="auto"/>
        </w:rPr>
        <w:t>” shall not guarantee that the faculty</w:t>
      </w:r>
      <w:r w:rsidR="001D7465" w:rsidRPr="009D5489">
        <w:rPr>
          <w:color w:val="auto"/>
        </w:rPr>
        <w:t xml:space="preserve"> member will receive promotion.  </w:t>
      </w:r>
      <w:r w:rsidR="004E687B" w:rsidRPr="009D5489">
        <w:rPr>
          <w:color w:val="auto"/>
        </w:rPr>
        <w:t>Conversely, a faculty member may qualify for promotion with accomplishments that fall below the qualifying general range but are of extraordinary quality.</w:t>
      </w:r>
    </w:p>
    <w:p w14:paraId="06544794"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sz w:val="24"/>
        </w:rPr>
      </w:pPr>
    </w:p>
    <w:p w14:paraId="6A4A9F0D"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360"/>
        <w:rPr>
          <w:sz w:val="24"/>
        </w:rPr>
      </w:pPr>
    </w:p>
    <w:p w14:paraId="4BC4AEF5" w14:textId="77777777" w:rsidR="004E687B" w:rsidRPr="009D5489" w:rsidRDefault="004E687B">
      <w:pPr>
        <w:pStyle w:val="Default"/>
        <w:rPr>
          <w:color w:val="auto"/>
        </w:rPr>
      </w:pPr>
      <w:r w:rsidRPr="009D5489">
        <w:rPr>
          <w:color w:val="auto"/>
        </w:rPr>
        <w:t xml:space="preserve">4.    Service </w:t>
      </w:r>
    </w:p>
    <w:p w14:paraId="5378C2CC" w14:textId="77777777" w:rsidR="004E687B" w:rsidRPr="009D5489" w:rsidRDefault="004E687B">
      <w:pPr>
        <w:pStyle w:val="Default"/>
        <w:ind w:left="720"/>
        <w:rPr>
          <w:color w:val="auto"/>
        </w:rPr>
      </w:pPr>
    </w:p>
    <w:p w14:paraId="5AD5E51F" w14:textId="77777777" w:rsidR="004E687B" w:rsidRPr="009D5489" w:rsidRDefault="004E687B">
      <w:pPr>
        <w:ind w:left="1080"/>
        <w:rPr>
          <w:sz w:val="24"/>
        </w:rPr>
      </w:pPr>
      <w:r w:rsidRPr="009D5489">
        <w:rPr>
          <w:sz w:val="24"/>
        </w:rPr>
        <w:t xml:space="preserve">To be promoted to Professor a successful candidate will provide evidence of “continuing meaningful contributions” over the course of the period since the last promotion by indicating the Professional, University, College, or Departmental committees/service activities he/she has served on or engaged in. Candidates may also provide evidence of meaningful contributions from prior academic experience if they are bringing in years in rank as a condition of their contract at the time of hire. At least a portion of the service activities must be performed while employed at UNF. </w:t>
      </w:r>
    </w:p>
    <w:p w14:paraId="5AC3CE5F" w14:textId="77777777" w:rsidR="004E687B" w:rsidRPr="009D5489" w:rsidRDefault="004E687B">
      <w:pPr>
        <w:ind w:firstLine="720"/>
        <w:rPr>
          <w:sz w:val="24"/>
        </w:rPr>
      </w:pPr>
    </w:p>
    <w:p w14:paraId="24D0F2DF" w14:textId="77777777" w:rsidR="00D51A5F" w:rsidRPr="009D5489" w:rsidRDefault="00D51A5F">
      <w:pPr>
        <w:ind w:firstLine="720"/>
        <w:rPr>
          <w:sz w:val="24"/>
        </w:rPr>
      </w:pPr>
    </w:p>
    <w:p w14:paraId="7F021F1D" w14:textId="77777777" w:rsidR="00D51A5F" w:rsidRPr="009D5489" w:rsidRDefault="00D51A5F">
      <w:pPr>
        <w:ind w:firstLine="720"/>
        <w:rPr>
          <w:sz w:val="24"/>
        </w:rPr>
      </w:pPr>
    </w:p>
    <w:p w14:paraId="0F708E07" w14:textId="77777777" w:rsidR="00D51A5F" w:rsidRPr="009D5489" w:rsidRDefault="00D51A5F">
      <w:pPr>
        <w:ind w:firstLine="720"/>
        <w:rPr>
          <w:sz w:val="24"/>
        </w:rPr>
      </w:pPr>
    </w:p>
    <w:p w14:paraId="6C056AFF" w14:textId="77777777" w:rsidR="00D51A5F" w:rsidRPr="006D2423" w:rsidRDefault="004E687B" w:rsidP="006D2423">
      <w:pPr>
        <w:pStyle w:val="Heading2"/>
      </w:pPr>
      <w:r w:rsidRPr="009D5489">
        <w:tab/>
        <w:t xml:space="preserve">ARTICLE </w:t>
      </w:r>
      <w:r w:rsidR="00702164">
        <w:t>III</w:t>
      </w:r>
    </w:p>
    <w:p w14:paraId="26E6AB47" w14:textId="77777777" w:rsidR="00D51A5F" w:rsidRPr="009D5489" w:rsidRDefault="00D51A5F" w:rsidP="006D2423">
      <w:pPr>
        <w:pStyle w:val="Heading3"/>
      </w:pPr>
      <w:r w:rsidRPr="009D5489">
        <w:t>CRITERIA FOR PROMOTION OF INSTRUCTORS AND LECTURERS</w:t>
      </w:r>
    </w:p>
    <w:p w14:paraId="7A459955" w14:textId="77777777" w:rsidR="00D51A5F" w:rsidRPr="009D5489" w:rsidRDefault="00D51A5F" w:rsidP="006D2423"/>
    <w:p w14:paraId="5B184A36" w14:textId="77777777" w:rsidR="00F10C74" w:rsidRPr="009D5489" w:rsidRDefault="008A22B8" w:rsidP="006D2423">
      <w:r w:rsidRPr="009D5489">
        <w:rPr>
          <w:b/>
        </w:rPr>
        <w:t>Promotion to Associate Instructor or Associate Lecturer</w:t>
      </w:r>
      <w:r w:rsidRPr="009D5489">
        <w:t xml:space="preserve"> requires a consistent record of excellence in performing assigned duties, and evidence of professional and intellectual accomplishments contributing to the</w:t>
      </w:r>
      <w:r w:rsidR="00F10C74" w:rsidRPr="009D5489">
        <w:t xml:space="preserve"> University and the profession in the areas of teaching and service.</w:t>
      </w:r>
    </w:p>
    <w:p w14:paraId="4DE3EF07" w14:textId="77777777" w:rsidR="00F10C74" w:rsidRPr="009D5489" w:rsidRDefault="00F10C74" w:rsidP="006D2423"/>
    <w:p w14:paraId="3C55D196" w14:textId="77777777" w:rsidR="00F10C74" w:rsidRPr="009D5489" w:rsidRDefault="00F10C74" w:rsidP="006D2423">
      <w:r w:rsidRPr="009D5489">
        <w:t xml:space="preserve">The Department of Economics and Geography views such excellence to reflect teaching commensurate with the criteria above in </w:t>
      </w:r>
      <w:r w:rsidR="00702164">
        <w:t>ARTICLE I</w:t>
      </w:r>
      <w:r w:rsidRPr="009D5489">
        <w:t>.2 for promotion from assistant professor to associate professor.</w:t>
      </w:r>
    </w:p>
    <w:p w14:paraId="43562C80" w14:textId="77777777" w:rsidR="00F10C74" w:rsidRPr="009D5489" w:rsidRDefault="00F10C74" w:rsidP="006D2423"/>
    <w:p w14:paraId="5BF60F81" w14:textId="77777777" w:rsidR="00F10C74" w:rsidRPr="009D5489" w:rsidRDefault="00F10C74" w:rsidP="006D2423">
      <w:r w:rsidRPr="009D5489">
        <w:t xml:space="preserve">The Department of Economics and Geography views such excellence to reflect service commensurate with the criteria above in </w:t>
      </w:r>
      <w:r w:rsidR="00702164">
        <w:t>ARTICLE I</w:t>
      </w:r>
      <w:r w:rsidRPr="009D5489">
        <w:t>.4 for promotion from assistant professor to associate professor.</w:t>
      </w:r>
    </w:p>
    <w:p w14:paraId="09BD9C03" w14:textId="77777777" w:rsidR="00E806B4" w:rsidRPr="009D5489" w:rsidRDefault="00E806B4" w:rsidP="006D2423"/>
    <w:p w14:paraId="4A16D1E4" w14:textId="77777777" w:rsidR="00E806B4" w:rsidRPr="009D5489" w:rsidRDefault="00E806B4" w:rsidP="006D2423">
      <w:r w:rsidRPr="009D5489">
        <w:t xml:space="preserve">While not required, any scholarly efforts in the </w:t>
      </w:r>
      <w:r w:rsidR="00F3043C" w:rsidRPr="009D5489">
        <w:t>form</w:t>
      </w:r>
      <w:r w:rsidRPr="009D5489">
        <w:t xml:space="preserve"> of journal articles or books published, presentations to professional groups, and/or other intellectual contributions are deemed to be positive activities that weigh in the favor of the candidate.</w:t>
      </w:r>
    </w:p>
    <w:p w14:paraId="687EF782" w14:textId="77777777" w:rsidR="00F10C74" w:rsidRPr="009D5489" w:rsidRDefault="00F10C74" w:rsidP="006D2423"/>
    <w:p w14:paraId="69EA34B4" w14:textId="77777777" w:rsidR="00F10C74" w:rsidRPr="009D5489" w:rsidRDefault="00F10C74" w:rsidP="006D2423">
      <w:pPr>
        <w:pStyle w:val="Heading3"/>
      </w:pPr>
      <w:r w:rsidRPr="009D5489">
        <w:t xml:space="preserve">Promotion to University Instructor or University Lecturer </w:t>
      </w:r>
      <w:r w:rsidR="008B7381">
        <w:rPr>
          <w:strike/>
        </w:rPr>
        <w:t xml:space="preserve"> </w:t>
      </w:r>
      <w:r w:rsidRPr="009D5489">
        <w:t xml:space="preserve"> </w:t>
      </w:r>
    </w:p>
    <w:p w14:paraId="58F4CE9B" w14:textId="77777777" w:rsidR="00F10C74" w:rsidRPr="009D5489" w:rsidRDefault="00F10C74" w:rsidP="006D2423"/>
    <w:p w14:paraId="42A6FBC2" w14:textId="77777777" w:rsidR="00F10C74" w:rsidRPr="00DB223A" w:rsidRDefault="00F10C74" w:rsidP="006D2423">
      <w:pPr>
        <w:rPr>
          <w:strike/>
        </w:rPr>
      </w:pPr>
      <w:r w:rsidRPr="00C32D8D">
        <w:t xml:space="preserve">The Department of Economics and Geography views such excellence to reflect teaching commensurate with the criteria above in </w:t>
      </w:r>
      <w:r w:rsidR="00702164">
        <w:t>ARTICLE II</w:t>
      </w:r>
      <w:r w:rsidRPr="00FC421E">
        <w:t xml:space="preserve">.2 for promotion from </w:t>
      </w:r>
      <w:r w:rsidR="00F3043C" w:rsidRPr="00FC421E">
        <w:t>associate</w:t>
      </w:r>
      <w:r w:rsidRPr="00FC421E">
        <w:t xml:space="preserve"> professor to professor.</w:t>
      </w:r>
    </w:p>
    <w:p w14:paraId="1B150716" w14:textId="77777777" w:rsidR="00F10C74" w:rsidRPr="00DB223A" w:rsidRDefault="00F10C74" w:rsidP="006D2423"/>
    <w:p w14:paraId="10BDA705" w14:textId="77777777" w:rsidR="00F10C74" w:rsidRPr="009D5489" w:rsidRDefault="00F10C74" w:rsidP="006D2423">
      <w:r w:rsidRPr="009D5489">
        <w:t xml:space="preserve">Excellence in service may be demonstrated by a record of active participation in departmental and/or university governance.  The Department of Economics and Geography views such excellence to reflect service commensurate with the criteria above in </w:t>
      </w:r>
      <w:r w:rsidR="00702164">
        <w:t>ARTICLE II</w:t>
      </w:r>
      <w:r w:rsidRPr="009D5489">
        <w:t>.4 for promotion from ass</w:t>
      </w:r>
      <w:r w:rsidR="00F3043C" w:rsidRPr="009D5489">
        <w:t xml:space="preserve">ociate </w:t>
      </w:r>
      <w:r w:rsidRPr="009D5489">
        <w:t>professor to professor.</w:t>
      </w:r>
    </w:p>
    <w:p w14:paraId="56BD1DFE" w14:textId="77777777" w:rsidR="00F10C74" w:rsidRPr="009D5489" w:rsidRDefault="00F10C74" w:rsidP="006D2423"/>
    <w:p w14:paraId="30347570" w14:textId="77777777" w:rsidR="00E806B4" w:rsidRPr="009D5489" w:rsidRDefault="00E806B4" w:rsidP="006D2423">
      <w:r w:rsidRPr="009D5489">
        <w:t xml:space="preserve">While not required, any scholarly efforts in the </w:t>
      </w:r>
      <w:r w:rsidR="00F3043C" w:rsidRPr="009D5489">
        <w:t>form</w:t>
      </w:r>
      <w:r w:rsidRPr="009D5489">
        <w:t xml:space="preserve"> of journal articles or books published, presentations to professional groups, and/or other intellectual contributions are deemed to be positive activities that weigh in the favor of the candidate.</w:t>
      </w:r>
    </w:p>
    <w:p w14:paraId="678A0D32" w14:textId="77777777" w:rsidR="00E806B4" w:rsidRPr="009D5489" w:rsidRDefault="00E806B4" w:rsidP="00E806B4">
      <w:pPr>
        <w:widowControl/>
        <w:tabs>
          <w:tab w:val="center" w:pos="4680"/>
          <w:tab w:val="left" w:pos="4800"/>
          <w:tab w:val="left" w:pos="5400"/>
          <w:tab w:val="left" w:pos="6000"/>
          <w:tab w:val="left" w:pos="6600"/>
          <w:tab w:val="left" w:pos="7200"/>
          <w:tab w:val="left" w:pos="7800"/>
          <w:tab w:val="left" w:pos="8400"/>
          <w:tab w:val="left" w:pos="9000"/>
        </w:tabs>
        <w:outlineLvl w:val="0"/>
        <w:rPr>
          <w:i/>
          <w:sz w:val="23"/>
          <w:szCs w:val="23"/>
        </w:rPr>
      </w:pPr>
    </w:p>
    <w:p w14:paraId="36292A41" w14:textId="77777777" w:rsidR="00F10C74" w:rsidRPr="009D5489" w:rsidRDefault="00F10C74" w:rsidP="00F10C74">
      <w:pPr>
        <w:widowControl/>
        <w:tabs>
          <w:tab w:val="center" w:pos="4680"/>
          <w:tab w:val="left" w:pos="4800"/>
          <w:tab w:val="left" w:pos="5400"/>
          <w:tab w:val="left" w:pos="6000"/>
          <w:tab w:val="left" w:pos="6600"/>
          <w:tab w:val="left" w:pos="7200"/>
          <w:tab w:val="left" w:pos="7800"/>
          <w:tab w:val="left" w:pos="8400"/>
          <w:tab w:val="left" w:pos="9000"/>
        </w:tabs>
        <w:outlineLvl w:val="0"/>
        <w:rPr>
          <w:i/>
          <w:sz w:val="23"/>
          <w:szCs w:val="23"/>
        </w:rPr>
      </w:pPr>
    </w:p>
    <w:p w14:paraId="6446D973" w14:textId="77777777" w:rsidR="00B266CB" w:rsidRPr="009D5489" w:rsidRDefault="00B266CB" w:rsidP="00F10C74">
      <w:pPr>
        <w:widowControl/>
        <w:tabs>
          <w:tab w:val="center" w:pos="4680"/>
          <w:tab w:val="left" w:pos="4800"/>
          <w:tab w:val="left" w:pos="5400"/>
          <w:tab w:val="left" w:pos="6000"/>
          <w:tab w:val="left" w:pos="6600"/>
          <w:tab w:val="left" w:pos="7200"/>
          <w:tab w:val="left" w:pos="7800"/>
          <w:tab w:val="left" w:pos="8400"/>
          <w:tab w:val="left" w:pos="9000"/>
        </w:tabs>
        <w:outlineLvl w:val="0"/>
        <w:rPr>
          <w:sz w:val="23"/>
          <w:szCs w:val="23"/>
        </w:rPr>
      </w:pPr>
    </w:p>
    <w:p w14:paraId="0D1108D1" w14:textId="77777777" w:rsidR="004E687B" w:rsidRPr="009D5489" w:rsidRDefault="004E687B">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p>
    <w:sectPr w:rsidR="004E687B" w:rsidRPr="009D5489">
      <w:headerReference w:type="default" r:id="rId11"/>
      <w:footerReference w:type="even" r:id="rId12"/>
      <w:footerReference w:type="default" r:id="rId13"/>
      <w:endnotePr>
        <w:numFmt w:val="decimal"/>
      </w:endnotePr>
      <w:pgSz w:w="12240" w:h="15840"/>
      <w:pgMar w:top="1118" w:right="1440" w:bottom="1118" w:left="1440" w:header="1118" w:footer="11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3F364" w14:textId="77777777" w:rsidR="00B634FD" w:rsidRDefault="00B634FD">
      <w:r>
        <w:separator/>
      </w:r>
    </w:p>
  </w:endnote>
  <w:endnote w:type="continuationSeparator" w:id="0">
    <w:p w14:paraId="0B7D4508" w14:textId="77777777" w:rsidR="00B634FD" w:rsidRDefault="00B6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08492" w14:textId="77777777" w:rsidR="00661E2E" w:rsidRDefault="00661E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DACFFF" w14:textId="77777777" w:rsidR="00661E2E" w:rsidRDefault="00661E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8AC13" w14:textId="77777777" w:rsidR="00661E2E" w:rsidRDefault="00661E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223A">
      <w:rPr>
        <w:rStyle w:val="PageNumber"/>
        <w:noProof/>
      </w:rPr>
      <w:t>2</w:t>
    </w:r>
    <w:r>
      <w:rPr>
        <w:rStyle w:val="PageNumber"/>
      </w:rPr>
      <w:fldChar w:fldCharType="end"/>
    </w:r>
  </w:p>
  <w:p w14:paraId="388E5182" w14:textId="77777777" w:rsidR="00661E2E" w:rsidRDefault="00661E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9C4B0" w14:textId="77777777" w:rsidR="00B634FD" w:rsidRDefault="00B634FD">
      <w:r>
        <w:separator/>
      </w:r>
    </w:p>
  </w:footnote>
  <w:footnote w:type="continuationSeparator" w:id="0">
    <w:p w14:paraId="2B5B7353" w14:textId="77777777" w:rsidR="00B634FD" w:rsidRDefault="00B63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E1ADD" w14:textId="77777777" w:rsidR="00661E2E" w:rsidRDefault="00661E2E">
    <w:pPr>
      <w:rPr>
        <w:sz w:val="24"/>
      </w:rPr>
    </w:pPr>
  </w:p>
  <w:p w14:paraId="48298267" w14:textId="77777777" w:rsidR="00661E2E" w:rsidRDefault="00661E2E">
    <w:pPr>
      <w:spacing w:line="240" w:lineRule="exac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71D5F"/>
    <w:multiLevelType w:val="hybridMultilevel"/>
    <w:tmpl w:val="812AC0F8"/>
    <w:lvl w:ilvl="0" w:tplc="2B04ADC2">
      <w:start w:val="2"/>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FD05023"/>
    <w:multiLevelType w:val="hybridMultilevel"/>
    <w:tmpl w:val="705009EA"/>
    <w:lvl w:ilvl="0" w:tplc="04090019">
      <w:start w:val="1"/>
      <w:numFmt w:val="lowerLetter"/>
      <w:lvlText w:val="%1."/>
      <w:lvlJc w:val="left"/>
      <w:pPr>
        <w:tabs>
          <w:tab w:val="num" w:pos="720"/>
        </w:tabs>
        <w:ind w:left="720" w:hanging="360"/>
      </w:pPr>
      <w:rPr>
        <w:rFonts w:hint="default"/>
      </w:rPr>
    </w:lvl>
    <w:lvl w:ilvl="1" w:tplc="B9EAB73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E96402"/>
    <w:multiLevelType w:val="hybridMultilevel"/>
    <w:tmpl w:val="133C54FE"/>
    <w:lvl w:ilvl="0" w:tplc="BC7C6E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7F13975"/>
    <w:multiLevelType w:val="hybridMultilevel"/>
    <w:tmpl w:val="88C22450"/>
    <w:lvl w:ilvl="0" w:tplc="04090001">
      <w:start w:val="1"/>
      <w:numFmt w:val="bullet"/>
      <w:lvlText w:val=""/>
      <w:lvlJc w:val="left"/>
      <w:pPr>
        <w:tabs>
          <w:tab w:val="num" w:pos="2580"/>
        </w:tabs>
        <w:ind w:left="2580" w:hanging="360"/>
      </w:pPr>
      <w:rPr>
        <w:rFonts w:ascii="Symbol" w:hAnsi="Symbol" w:hint="default"/>
      </w:rPr>
    </w:lvl>
    <w:lvl w:ilvl="1" w:tplc="04090003" w:tentative="1">
      <w:start w:val="1"/>
      <w:numFmt w:val="bullet"/>
      <w:lvlText w:val="o"/>
      <w:lvlJc w:val="left"/>
      <w:pPr>
        <w:tabs>
          <w:tab w:val="num" w:pos="3300"/>
        </w:tabs>
        <w:ind w:left="3300" w:hanging="360"/>
      </w:pPr>
      <w:rPr>
        <w:rFonts w:ascii="Courier New" w:hAnsi="Courier New" w:cs="Courier New" w:hint="default"/>
      </w:rPr>
    </w:lvl>
    <w:lvl w:ilvl="2" w:tplc="04090005" w:tentative="1">
      <w:start w:val="1"/>
      <w:numFmt w:val="bullet"/>
      <w:lvlText w:val=""/>
      <w:lvlJc w:val="left"/>
      <w:pPr>
        <w:tabs>
          <w:tab w:val="num" w:pos="4020"/>
        </w:tabs>
        <w:ind w:left="4020" w:hanging="360"/>
      </w:pPr>
      <w:rPr>
        <w:rFonts w:ascii="Wingdings" w:hAnsi="Wingdings" w:hint="default"/>
      </w:rPr>
    </w:lvl>
    <w:lvl w:ilvl="3" w:tplc="04090001" w:tentative="1">
      <w:start w:val="1"/>
      <w:numFmt w:val="bullet"/>
      <w:lvlText w:val=""/>
      <w:lvlJc w:val="left"/>
      <w:pPr>
        <w:tabs>
          <w:tab w:val="num" w:pos="4740"/>
        </w:tabs>
        <w:ind w:left="4740" w:hanging="360"/>
      </w:pPr>
      <w:rPr>
        <w:rFonts w:ascii="Symbol" w:hAnsi="Symbol" w:hint="default"/>
      </w:rPr>
    </w:lvl>
    <w:lvl w:ilvl="4" w:tplc="04090003" w:tentative="1">
      <w:start w:val="1"/>
      <w:numFmt w:val="bullet"/>
      <w:lvlText w:val="o"/>
      <w:lvlJc w:val="left"/>
      <w:pPr>
        <w:tabs>
          <w:tab w:val="num" w:pos="5460"/>
        </w:tabs>
        <w:ind w:left="5460" w:hanging="360"/>
      </w:pPr>
      <w:rPr>
        <w:rFonts w:ascii="Courier New" w:hAnsi="Courier New" w:cs="Courier New" w:hint="default"/>
      </w:rPr>
    </w:lvl>
    <w:lvl w:ilvl="5" w:tplc="04090005" w:tentative="1">
      <w:start w:val="1"/>
      <w:numFmt w:val="bullet"/>
      <w:lvlText w:val=""/>
      <w:lvlJc w:val="left"/>
      <w:pPr>
        <w:tabs>
          <w:tab w:val="num" w:pos="6180"/>
        </w:tabs>
        <w:ind w:left="6180" w:hanging="360"/>
      </w:pPr>
      <w:rPr>
        <w:rFonts w:ascii="Wingdings" w:hAnsi="Wingdings" w:hint="default"/>
      </w:rPr>
    </w:lvl>
    <w:lvl w:ilvl="6" w:tplc="04090001" w:tentative="1">
      <w:start w:val="1"/>
      <w:numFmt w:val="bullet"/>
      <w:lvlText w:val=""/>
      <w:lvlJc w:val="left"/>
      <w:pPr>
        <w:tabs>
          <w:tab w:val="num" w:pos="6900"/>
        </w:tabs>
        <w:ind w:left="6900" w:hanging="360"/>
      </w:pPr>
      <w:rPr>
        <w:rFonts w:ascii="Symbol" w:hAnsi="Symbol" w:hint="default"/>
      </w:rPr>
    </w:lvl>
    <w:lvl w:ilvl="7" w:tplc="04090003" w:tentative="1">
      <w:start w:val="1"/>
      <w:numFmt w:val="bullet"/>
      <w:lvlText w:val="o"/>
      <w:lvlJc w:val="left"/>
      <w:pPr>
        <w:tabs>
          <w:tab w:val="num" w:pos="7620"/>
        </w:tabs>
        <w:ind w:left="7620" w:hanging="360"/>
      </w:pPr>
      <w:rPr>
        <w:rFonts w:ascii="Courier New" w:hAnsi="Courier New" w:cs="Courier New" w:hint="default"/>
      </w:rPr>
    </w:lvl>
    <w:lvl w:ilvl="8" w:tplc="04090005" w:tentative="1">
      <w:start w:val="1"/>
      <w:numFmt w:val="bullet"/>
      <w:lvlText w:val=""/>
      <w:lvlJc w:val="left"/>
      <w:pPr>
        <w:tabs>
          <w:tab w:val="num" w:pos="8340"/>
        </w:tabs>
        <w:ind w:left="8340" w:hanging="360"/>
      </w:pPr>
      <w:rPr>
        <w:rFonts w:ascii="Wingdings" w:hAnsi="Wingdings" w:hint="default"/>
      </w:rPr>
    </w:lvl>
  </w:abstractNum>
  <w:abstractNum w:abstractNumId="4" w15:restartNumberingAfterBreak="0">
    <w:nsid w:val="1A7D6C53"/>
    <w:multiLevelType w:val="hybridMultilevel"/>
    <w:tmpl w:val="38987774"/>
    <w:lvl w:ilvl="0" w:tplc="ECA40DE4">
      <w:start w:val="1"/>
      <w:numFmt w:val="lowerLetter"/>
      <w:lvlText w:val="%1."/>
      <w:lvlJc w:val="left"/>
      <w:pPr>
        <w:tabs>
          <w:tab w:val="num" w:pos="1692"/>
        </w:tabs>
        <w:ind w:left="1692" w:hanging="97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103A98"/>
    <w:multiLevelType w:val="hybridMultilevel"/>
    <w:tmpl w:val="3A6A4F26"/>
    <w:lvl w:ilvl="0" w:tplc="53E87C54">
      <w:start w:val="1"/>
      <w:numFmt w:val="lowerLetter"/>
      <w:lvlText w:val="%1."/>
      <w:lvlJc w:val="left"/>
      <w:pPr>
        <w:ind w:left="1080" w:hanging="360"/>
      </w:pPr>
      <w:rPr>
        <w:rFonts w:hint="default"/>
        <w:b w:val="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400111"/>
    <w:multiLevelType w:val="hybridMultilevel"/>
    <w:tmpl w:val="1DB89988"/>
    <w:lvl w:ilvl="0" w:tplc="25F0B1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B4468"/>
    <w:multiLevelType w:val="hybridMultilevel"/>
    <w:tmpl w:val="E2463B32"/>
    <w:lvl w:ilvl="0" w:tplc="DCF686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90544BF"/>
    <w:multiLevelType w:val="hybridMultilevel"/>
    <w:tmpl w:val="144E5606"/>
    <w:lvl w:ilvl="0" w:tplc="25F0B1F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0618C"/>
    <w:multiLevelType w:val="hybridMultilevel"/>
    <w:tmpl w:val="02222B60"/>
    <w:lvl w:ilvl="0" w:tplc="904C596A">
      <w:start w:val="1"/>
      <w:numFmt w:val="upperRoman"/>
      <w:lvlText w:val="%1."/>
      <w:lvlJc w:val="left"/>
      <w:pPr>
        <w:tabs>
          <w:tab w:val="num" w:pos="1080"/>
        </w:tabs>
        <w:ind w:left="1080" w:hanging="720"/>
      </w:pPr>
      <w:rPr>
        <w:rFonts w:hint="default"/>
        <w:u w:val="none"/>
      </w:rPr>
    </w:lvl>
    <w:lvl w:ilvl="1" w:tplc="88EE893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8C04F0"/>
    <w:multiLevelType w:val="hybridMultilevel"/>
    <w:tmpl w:val="697C5C70"/>
    <w:lvl w:ilvl="0" w:tplc="19C60E24">
      <w:start w:val="9"/>
      <w:numFmt w:val="lowerLetter"/>
      <w:lvlText w:val="%1."/>
      <w:lvlJc w:val="left"/>
      <w:pPr>
        <w:tabs>
          <w:tab w:val="num" w:pos="2160"/>
        </w:tabs>
        <w:ind w:left="2160" w:hanging="360"/>
      </w:pPr>
      <w:rPr>
        <w:rFonts w:hint="default"/>
      </w:rPr>
    </w:lvl>
    <w:lvl w:ilvl="1" w:tplc="CC3A5B62">
      <w:start w:val="2"/>
      <w:numFmt w:val="lowerRoman"/>
      <w:lvlText w:val="%2."/>
      <w:lvlJc w:val="left"/>
      <w:pPr>
        <w:tabs>
          <w:tab w:val="num" w:pos="3240"/>
        </w:tabs>
        <w:ind w:left="3240" w:hanging="72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15:restartNumberingAfterBreak="0">
    <w:nsid w:val="43386D81"/>
    <w:multiLevelType w:val="hybridMultilevel"/>
    <w:tmpl w:val="340053C4"/>
    <w:lvl w:ilvl="0" w:tplc="04090019">
      <w:start w:val="1"/>
      <w:numFmt w:val="lowerLetter"/>
      <w:lvlText w:val="%1."/>
      <w:lvlJc w:val="left"/>
      <w:pPr>
        <w:tabs>
          <w:tab w:val="num" w:pos="720"/>
        </w:tabs>
        <w:ind w:left="720" w:hanging="360"/>
      </w:pPr>
      <w:rPr>
        <w:rFonts w:hint="default"/>
      </w:rPr>
    </w:lvl>
    <w:lvl w:ilvl="1" w:tplc="E58E3DA4">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3A28C4"/>
    <w:multiLevelType w:val="hybridMultilevel"/>
    <w:tmpl w:val="350EC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453DAC"/>
    <w:multiLevelType w:val="hybridMultilevel"/>
    <w:tmpl w:val="083EAC00"/>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4E54C61"/>
    <w:multiLevelType w:val="hybridMultilevel"/>
    <w:tmpl w:val="16DEABF4"/>
    <w:lvl w:ilvl="0" w:tplc="0409000F">
      <w:start w:val="5"/>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5" w15:restartNumberingAfterBreak="0">
    <w:nsid w:val="477B75B2"/>
    <w:multiLevelType w:val="hybridMultilevel"/>
    <w:tmpl w:val="08DAEB42"/>
    <w:lvl w:ilvl="0" w:tplc="04090001">
      <w:start w:val="1"/>
      <w:numFmt w:val="bullet"/>
      <w:lvlText w:val=""/>
      <w:lvlJc w:val="left"/>
      <w:pPr>
        <w:tabs>
          <w:tab w:val="num" w:pos="1380"/>
        </w:tabs>
        <w:ind w:left="138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16" w15:restartNumberingAfterBreak="0">
    <w:nsid w:val="478A2A1E"/>
    <w:multiLevelType w:val="hybridMultilevel"/>
    <w:tmpl w:val="0C9E6EEE"/>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7" w15:restartNumberingAfterBreak="0">
    <w:nsid w:val="47C47BD5"/>
    <w:multiLevelType w:val="hybridMultilevel"/>
    <w:tmpl w:val="B2DC1D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266D33"/>
    <w:multiLevelType w:val="hybridMultilevel"/>
    <w:tmpl w:val="F608284A"/>
    <w:lvl w:ilvl="0" w:tplc="5D2612A0">
      <w:start w:val="9"/>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4AE20A4E"/>
    <w:multiLevelType w:val="hybridMultilevel"/>
    <w:tmpl w:val="221260E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CB7639"/>
    <w:multiLevelType w:val="hybridMultilevel"/>
    <w:tmpl w:val="827C5FE0"/>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1" w15:restartNumberingAfterBreak="0">
    <w:nsid w:val="4C3959BE"/>
    <w:multiLevelType w:val="hybridMultilevel"/>
    <w:tmpl w:val="7618D2F2"/>
    <w:lvl w:ilvl="0" w:tplc="ADBEF840">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5B393C"/>
    <w:multiLevelType w:val="hybridMultilevel"/>
    <w:tmpl w:val="56C6484E"/>
    <w:lvl w:ilvl="0" w:tplc="3BBAA834">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AE3966"/>
    <w:multiLevelType w:val="hybridMultilevel"/>
    <w:tmpl w:val="6B22692C"/>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545752DF"/>
    <w:multiLevelType w:val="hybridMultilevel"/>
    <w:tmpl w:val="46D6EE76"/>
    <w:lvl w:ilvl="0" w:tplc="35324BD0">
      <w:start w:val="9"/>
      <w:numFmt w:val="lowerLetter"/>
      <w:lvlText w:val="%1."/>
      <w:lvlJc w:val="left"/>
      <w:pPr>
        <w:tabs>
          <w:tab w:val="num" w:pos="2160"/>
        </w:tabs>
        <w:ind w:left="2160" w:hanging="360"/>
      </w:pPr>
      <w:rPr>
        <w:rFonts w:hint="default"/>
      </w:rPr>
    </w:lvl>
    <w:lvl w:ilvl="1" w:tplc="04090001">
      <w:start w:val="1"/>
      <w:numFmt w:val="bullet"/>
      <w:lvlText w:val=""/>
      <w:lvlJc w:val="left"/>
      <w:pPr>
        <w:tabs>
          <w:tab w:val="num" w:pos="2880"/>
        </w:tabs>
        <w:ind w:left="2880" w:hanging="360"/>
      </w:pPr>
      <w:rPr>
        <w:rFonts w:ascii="Symbol" w:hAnsi="Symbol"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554C1B0E"/>
    <w:multiLevelType w:val="hybridMultilevel"/>
    <w:tmpl w:val="4FF6DF1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15:restartNumberingAfterBreak="0">
    <w:nsid w:val="584D47DD"/>
    <w:multiLevelType w:val="hybridMultilevel"/>
    <w:tmpl w:val="064293DA"/>
    <w:lvl w:ilvl="0" w:tplc="5C020B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8A458F9"/>
    <w:multiLevelType w:val="hybridMultilevel"/>
    <w:tmpl w:val="02D8893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5B411404"/>
    <w:multiLevelType w:val="hybridMultilevel"/>
    <w:tmpl w:val="99B64FBE"/>
    <w:lvl w:ilvl="0" w:tplc="7130D2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F0E7770"/>
    <w:multiLevelType w:val="hybridMultilevel"/>
    <w:tmpl w:val="C28C15B8"/>
    <w:lvl w:ilvl="0" w:tplc="FF562B68">
      <w:start w:val="2"/>
      <w:numFmt w:val="decimal"/>
      <w:lvlText w:val="%1."/>
      <w:lvlJc w:val="left"/>
      <w:pPr>
        <w:tabs>
          <w:tab w:val="num" w:pos="1200"/>
        </w:tabs>
        <w:ind w:left="1200" w:hanging="60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0" w15:restartNumberingAfterBreak="0">
    <w:nsid w:val="64CD551A"/>
    <w:multiLevelType w:val="hybridMultilevel"/>
    <w:tmpl w:val="18B794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5373295"/>
    <w:multiLevelType w:val="hybridMultilevel"/>
    <w:tmpl w:val="1F24FDFC"/>
    <w:lvl w:ilvl="0" w:tplc="0409000F">
      <w:start w:val="1"/>
      <w:numFmt w:val="decimal"/>
      <w:lvlText w:val="%1."/>
      <w:lvlJc w:val="left"/>
      <w:pPr>
        <w:tabs>
          <w:tab w:val="num" w:pos="720"/>
        </w:tabs>
        <w:ind w:left="720" w:hanging="360"/>
      </w:pPr>
      <w:rPr>
        <w:rFonts w:hint="default"/>
      </w:rPr>
    </w:lvl>
    <w:lvl w:ilvl="1" w:tplc="67D4936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74B7B89"/>
    <w:multiLevelType w:val="hybridMultilevel"/>
    <w:tmpl w:val="664C0A12"/>
    <w:lvl w:ilvl="0" w:tplc="BBAEBCEA">
      <w:start w:val="1"/>
      <w:numFmt w:val="decimal"/>
      <w:lvlText w:val="%1."/>
      <w:lvlJc w:val="left"/>
      <w:pPr>
        <w:ind w:left="1080" w:hanging="360"/>
      </w:pPr>
      <w:rPr>
        <w:rFonts w:hint="default"/>
        <w:b w:val="0"/>
        <w:sz w:val="24"/>
        <w:szCs w:val="24"/>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3" w15:restartNumberingAfterBreak="0">
    <w:nsid w:val="67A1604B"/>
    <w:multiLevelType w:val="hybridMultilevel"/>
    <w:tmpl w:val="ECBED944"/>
    <w:lvl w:ilvl="0" w:tplc="10EA43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97456B0"/>
    <w:multiLevelType w:val="hybridMultilevel"/>
    <w:tmpl w:val="6F523764"/>
    <w:lvl w:ilvl="0" w:tplc="8BA6D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434223"/>
    <w:multiLevelType w:val="hybridMultilevel"/>
    <w:tmpl w:val="819A863A"/>
    <w:lvl w:ilvl="0" w:tplc="07F81F5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9F09D5"/>
    <w:multiLevelType w:val="hybridMultilevel"/>
    <w:tmpl w:val="C7048E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62774F5"/>
    <w:multiLevelType w:val="hybridMultilevel"/>
    <w:tmpl w:val="594AF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3356D5"/>
    <w:multiLevelType w:val="hybridMultilevel"/>
    <w:tmpl w:val="C0003B30"/>
    <w:lvl w:ilvl="0" w:tplc="D80261DC">
      <w:start w:val="2"/>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9" w15:restartNumberingAfterBreak="0">
    <w:nsid w:val="780414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BBE0D81"/>
    <w:multiLevelType w:val="hybridMultilevel"/>
    <w:tmpl w:val="D0DAE638"/>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494580"/>
    <w:multiLevelType w:val="hybridMultilevel"/>
    <w:tmpl w:val="535ECA3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E10762C"/>
    <w:multiLevelType w:val="hybridMultilevel"/>
    <w:tmpl w:val="8E027B1A"/>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43" w15:restartNumberingAfterBreak="0">
    <w:nsid w:val="7E9B437E"/>
    <w:multiLevelType w:val="hybridMultilevel"/>
    <w:tmpl w:val="26D07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0"/>
  </w:num>
  <w:num w:numId="3">
    <w:abstractNumId w:val="17"/>
  </w:num>
  <w:num w:numId="4">
    <w:abstractNumId w:val="9"/>
  </w:num>
  <w:num w:numId="5">
    <w:abstractNumId w:val="0"/>
  </w:num>
  <w:num w:numId="6">
    <w:abstractNumId w:val="18"/>
  </w:num>
  <w:num w:numId="7">
    <w:abstractNumId w:val="38"/>
  </w:num>
  <w:num w:numId="8">
    <w:abstractNumId w:val="10"/>
  </w:num>
  <w:num w:numId="9">
    <w:abstractNumId w:val="11"/>
  </w:num>
  <w:num w:numId="10">
    <w:abstractNumId w:val="31"/>
  </w:num>
  <w:num w:numId="11">
    <w:abstractNumId w:val="29"/>
  </w:num>
  <w:num w:numId="12">
    <w:abstractNumId w:val="24"/>
  </w:num>
  <w:num w:numId="13">
    <w:abstractNumId w:val="15"/>
  </w:num>
  <w:num w:numId="14">
    <w:abstractNumId w:val="36"/>
  </w:num>
  <w:num w:numId="15">
    <w:abstractNumId w:val="16"/>
  </w:num>
  <w:num w:numId="16">
    <w:abstractNumId w:val="27"/>
  </w:num>
  <w:num w:numId="17">
    <w:abstractNumId w:val="25"/>
  </w:num>
  <w:num w:numId="18">
    <w:abstractNumId w:val="20"/>
  </w:num>
  <w:num w:numId="19">
    <w:abstractNumId w:val="37"/>
  </w:num>
  <w:num w:numId="20">
    <w:abstractNumId w:val="42"/>
  </w:num>
  <w:num w:numId="21">
    <w:abstractNumId w:val="23"/>
  </w:num>
  <w:num w:numId="22">
    <w:abstractNumId w:val="3"/>
  </w:num>
  <w:num w:numId="23">
    <w:abstractNumId w:val="1"/>
  </w:num>
  <w:num w:numId="24">
    <w:abstractNumId w:val="30"/>
  </w:num>
  <w:num w:numId="25">
    <w:abstractNumId w:val="26"/>
  </w:num>
  <w:num w:numId="26">
    <w:abstractNumId w:val="13"/>
  </w:num>
  <w:num w:numId="27">
    <w:abstractNumId w:val="2"/>
  </w:num>
  <w:num w:numId="28">
    <w:abstractNumId w:val="41"/>
  </w:num>
  <w:num w:numId="29">
    <w:abstractNumId w:val="33"/>
  </w:num>
  <w:num w:numId="30">
    <w:abstractNumId w:val="14"/>
  </w:num>
  <w:num w:numId="31">
    <w:abstractNumId w:val="19"/>
  </w:num>
  <w:num w:numId="32">
    <w:abstractNumId w:val="4"/>
  </w:num>
  <w:num w:numId="33">
    <w:abstractNumId w:val="32"/>
  </w:num>
  <w:num w:numId="34">
    <w:abstractNumId w:val="22"/>
  </w:num>
  <w:num w:numId="35">
    <w:abstractNumId w:val="5"/>
  </w:num>
  <w:num w:numId="36">
    <w:abstractNumId w:val="43"/>
  </w:num>
  <w:num w:numId="37">
    <w:abstractNumId w:val="34"/>
  </w:num>
  <w:num w:numId="38">
    <w:abstractNumId w:val="7"/>
  </w:num>
  <w:num w:numId="39">
    <w:abstractNumId w:val="12"/>
  </w:num>
  <w:num w:numId="40">
    <w:abstractNumId w:val="6"/>
  </w:num>
  <w:num w:numId="41">
    <w:abstractNumId w:val="8"/>
  </w:num>
  <w:num w:numId="42">
    <w:abstractNumId w:val="39"/>
  </w:num>
  <w:num w:numId="43">
    <w:abstractNumId w:val="28"/>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DFC"/>
    <w:rsid w:val="00020944"/>
    <w:rsid w:val="00032E46"/>
    <w:rsid w:val="00033BC9"/>
    <w:rsid w:val="000437CB"/>
    <w:rsid w:val="00086649"/>
    <w:rsid w:val="000B286D"/>
    <w:rsid w:val="000C2C4F"/>
    <w:rsid w:val="000D54DF"/>
    <w:rsid w:val="00111C12"/>
    <w:rsid w:val="00130E69"/>
    <w:rsid w:val="00136D45"/>
    <w:rsid w:val="001620F6"/>
    <w:rsid w:val="001A1BC6"/>
    <w:rsid w:val="001A25D9"/>
    <w:rsid w:val="001A7C18"/>
    <w:rsid w:val="001D7465"/>
    <w:rsid w:val="001E640D"/>
    <w:rsid w:val="001F340C"/>
    <w:rsid w:val="002057A5"/>
    <w:rsid w:val="002157D7"/>
    <w:rsid w:val="00217AFA"/>
    <w:rsid w:val="00247815"/>
    <w:rsid w:val="00264EC9"/>
    <w:rsid w:val="00290ABF"/>
    <w:rsid w:val="002B49DF"/>
    <w:rsid w:val="002C3FA0"/>
    <w:rsid w:val="002E2741"/>
    <w:rsid w:val="002F562D"/>
    <w:rsid w:val="00305AD6"/>
    <w:rsid w:val="00315640"/>
    <w:rsid w:val="00347EBF"/>
    <w:rsid w:val="00390217"/>
    <w:rsid w:val="003920E1"/>
    <w:rsid w:val="00396A89"/>
    <w:rsid w:val="003A4D8E"/>
    <w:rsid w:val="003F0121"/>
    <w:rsid w:val="00497818"/>
    <w:rsid w:val="004E687B"/>
    <w:rsid w:val="00555A9E"/>
    <w:rsid w:val="00575365"/>
    <w:rsid w:val="005B2C83"/>
    <w:rsid w:val="005B3810"/>
    <w:rsid w:val="005C2A50"/>
    <w:rsid w:val="005D1ED8"/>
    <w:rsid w:val="00601D98"/>
    <w:rsid w:val="006058AA"/>
    <w:rsid w:val="006157FF"/>
    <w:rsid w:val="00651636"/>
    <w:rsid w:val="00661E2E"/>
    <w:rsid w:val="00675E8F"/>
    <w:rsid w:val="006B59B0"/>
    <w:rsid w:val="006D2423"/>
    <w:rsid w:val="006E03D3"/>
    <w:rsid w:val="006E7CFA"/>
    <w:rsid w:val="006F65FB"/>
    <w:rsid w:val="00702164"/>
    <w:rsid w:val="00780177"/>
    <w:rsid w:val="00790A23"/>
    <w:rsid w:val="007E3BC7"/>
    <w:rsid w:val="00821A09"/>
    <w:rsid w:val="00846D72"/>
    <w:rsid w:val="00851BDF"/>
    <w:rsid w:val="008A22B8"/>
    <w:rsid w:val="008A3E1E"/>
    <w:rsid w:val="008A6E2B"/>
    <w:rsid w:val="008B1E34"/>
    <w:rsid w:val="008B7381"/>
    <w:rsid w:val="008C0358"/>
    <w:rsid w:val="008C05C6"/>
    <w:rsid w:val="00907736"/>
    <w:rsid w:val="00916DE3"/>
    <w:rsid w:val="00927DFC"/>
    <w:rsid w:val="009565F8"/>
    <w:rsid w:val="009625E8"/>
    <w:rsid w:val="009724BE"/>
    <w:rsid w:val="0098043D"/>
    <w:rsid w:val="009C6309"/>
    <w:rsid w:val="009D5489"/>
    <w:rsid w:val="009E3297"/>
    <w:rsid w:val="009F786C"/>
    <w:rsid w:val="00A038CF"/>
    <w:rsid w:val="00AA11EB"/>
    <w:rsid w:val="00AA192E"/>
    <w:rsid w:val="00AB2AC2"/>
    <w:rsid w:val="00AD2A17"/>
    <w:rsid w:val="00AD7E7A"/>
    <w:rsid w:val="00AE276E"/>
    <w:rsid w:val="00B012F0"/>
    <w:rsid w:val="00B266CB"/>
    <w:rsid w:val="00B431CA"/>
    <w:rsid w:val="00B634FD"/>
    <w:rsid w:val="00B94A9D"/>
    <w:rsid w:val="00BB08DA"/>
    <w:rsid w:val="00BB369F"/>
    <w:rsid w:val="00BB3CD3"/>
    <w:rsid w:val="00BB6A6E"/>
    <w:rsid w:val="00BD2E57"/>
    <w:rsid w:val="00BD5AB0"/>
    <w:rsid w:val="00C00C93"/>
    <w:rsid w:val="00C32D8D"/>
    <w:rsid w:val="00C61394"/>
    <w:rsid w:val="00C673D3"/>
    <w:rsid w:val="00C834CA"/>
    <w:rsid w:val="00CB7F9C"/>
    <w:rsid w:val="00CC3539"/>
    <w:rsid w:val="00CD5EB4"/>
    <w:rsid w:val="00CD7E04"/>
    <w:rsid w:val="00D47B95"/>
    <w:rsid w:val="00D47EA5"/>
    <w:rsid w:val="00D51A5F"/>
    <w:rsid w:val="00D75D6B"/>
    <w:rsid w:val="00DB223A"/>
    <w:rsid w:val="00DE52F8"/>
    <w:rsid w:val="00DF3104"/>
    <w:rsid w:val="00DF462E"/>
    <w:rsid w:val="00E13334"/>
    <w:rsid w:val="00E61034"/>
    <w:rsid w:val="00E806B4"/>
    <w:rsid w:val="00E836DF"/>
    <w:rsid w:val="00EB4CC1"/>
    <w:rsid w:val="00ED572D"/>
    <w:rsid w:val="00F04A34"/>
    <w:rsid w:val="00F10C74"/>
    <w:rsid w:val="00F3043C"/>
    <w:rsid w:val="00F40B6F"/>
    <w:rsid w:val="00F51029"/>
    <w:rsid w:val="00F53F4B"/>
    <w:rsid w:val="00F54207"/>
    <w:rsid w:val="00F55DCB"/>
    <w:rsid w:val="00F908DB"/>
    <w:rsid w:val="00FA3CCF"/>
    <w:rsid w:val="00FB5E78"/>
    <w:rsid w:val="00FC421E"/>
    <w:rsid w:val="00FE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AB53DF2"/>
  <w15:chartTrackingRefBased/>
  <w15:docId w15:val="{B40EDE6E-AACC-4B2C-B8E6-4AC0FACF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rsid w:val="006D2423"/>
    <w:pPr>
      <w:tabs>
        <w:tab w:val="center" w:pos="4680"/>
      </w:tabs>
      <w:jc w:val="center"/>
      <w:outlineLvl w:val="0"/>
    </w:pPr>
    <w:rPr>
      <w:sz w:val="24"/>
    </w:rPr>
  </w:style>
  <w:style w:type="paragraph" w:styleId="Heading2">
    <w:name w:val="heading 2"/>
    <w:basedOn w:val="Normal"/>
    <w:next w:val="Normal"/>
    <w:qFormat/>
    <w:rsid w:val="006D2423"/>
    <w:pPr>
      <w:widowControl/>
      <w:tabs>
        <w:tab w:val="center" w:pos="4680"/>
        <w:tab w:val="left" w:pos="4800"/>
        <w:tab w:val="left" w:pos="5400"/>
        <w:tab w:val="left" w:pos="6000"/>
        <w:tab w:val="left" w:pos="6600"/>
        <w:tab w:val="left" w:pos="7200"/>
        <w:tab w:val="left" w:pos="7800"/>
        <w:tab w:val="left" w:pos="8400"/>
        <w:tab w:val="left" w:pos="9000"/>
      </w:tabs>
      <w:outlineLvl w:val="1"/>
    </w:pPr>
    <w:rPr>
      <w:b/>
      <w:bCs/>
      <w:sz w:val="24"/>
    </w:rPr>
  </w:style>
  <w:style w:type="paragraph" w:styleId="Heading3">
    <w:name w:val="heading 3"/>
    <w:basedOn w:val="Normal"/>
    <w:next w:val="Normal"/>
    <w:qFormat/>
    <w:rsid w:val="006D2423"/>
    <w:pPr>
      <w:widowControl/>
      <w:tabs>
        <w:tab w:val="center" w:pos="4680"/>
        <w:tab w:val="left" w:pos="4800"/>
        <w:tab w:val="left" w:pos="5400"/>
        <w:tab w:val="left" w:pos="6000"/>
        <w:tab w:val="left" w:pos="6600"/>
        <w:tab w:val="left" w:pos="7200"/>
        <w:tab w:val="left" w:pos="7800"/>
        <w:tab w:val="left" w:pos="8400"/>
        <w:tab w:val="left" w:pos="9000"/>
      </w:tabs>
      <w:outlineLvl w:val="2"/>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autoSpaceDE/>
      <w:autoSpaceDN/>
      <w:adjustRightInd/>
      <w:jc w:val="center"/>
    </w:pPr>
    <w:rPr>
      <w:b/>
      <w:bCs/>
      <w:sz w:val="28"/>
    </w:rPr>
  </w:style>
  <w:style w:type="paragraph" w:styleId="BodyText2">
    <w:name w:val="Body Text 2"/>
    <w:basedOn w:val="Normal"/>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pPr>
    <w:rPr>
      <w:rFonts w:ascii="Arial" w:hAnsi="Arial" w:cs="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ind w:left="1080"/>
    </w:pPr>
    <w:rPr>
      <w:sz w:val="24"/>
    </w:rPr>
  </w:style>
  <w:style w:type="paragraph" w:styleId="DocumentMap">
    <w:name w:val="Document Map"/>
    <w:basedOn w:val="Normal"/>
    <w:semiHidden/>
    <w:pPr>
      <w:shd w:val="clear" w:color="auto" w:fill="000080"/>
    </w:pPr>
    <w:rPr>
      <w:rFonts w:ascii="Tahoma" w:hAnsi="Tahoma" w:cs="Tahoma"/>
      <w:szCs w:val="20"/>
    </w:r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color w:val="000000"/>
      <w:sz w:val="24"/>
      <w:szCs w:val="24"/>
    </w:rPr>
  </w:style>
  <w:style w:type="paragraph" w:customStyle="1" w:styleId="Default1">
    <w:name w:val="Default1"/>
    <w:basedOn w:val="Default"/>
    <w:next w:val="Default"/>
    <w:rPr>
      <w:color w:val="auto"/>
      <w:sz w:val="20"/>
    </w:rPr>
  </w:style>
  <w:style w:type="paragraph" w:styleId="ListParagraph">
    <w:name w:val="List Paragraph"/>
    <w:basedOn w:val="Normal"/>
    <w:uiPriority w:val="34"/>
    <w:qFormat/>
    <w:rsid w:val="006D2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0B4FFE9BA0204FB96D85A847CFAF2C" ma:contentTypeVersion="11" ma:contentTypeDescription="Create a new document." ma:contentTypeScope="" ma:versionID="e435c9cc11b5222fe8b8f5a2a26dd676">
  <xsd:schema xmlns:xsd="http://www.w3.org/2001/XMLSchema" xmlns:xs="http://www.w3.org/2001/XMLSchema" xmlns:p="http://schemas.microsoft.com/office/2006/metadata/properties" xmlns:ns2="a8fbf49f-21ba-4487-b1fa-ffc4a5473ca3" targetNamespace="http://schemas.microsoft.com/office/2006/metadata/properties" ma:root="true" ma:fieldsID="56b77a72de78bdb3209df3d6651ee8bf" ns2:_="">
    <xsd:import namespace="a8fbf49f-21ba-4487-b1fa-ffc4a5473ca3"/>
    <xsd:element name="properties">
      <xsd:complexType>
        <xsd:sequence>
          <xsd:element name="documentManagement">
            <xsd:complexType>
              <xsd:all>
                <xsd:element ref="ns2:Division" minOccurs="0"/>
                <xsd:element ref="ns2:Department" minOccurs="0"/>
                <xsd:element ref="ns2:Document_x0020_Status"/>
                <xsd:element ref="ns2:Month" minOccurs="0"/>
                <xsd:element ref="ns2:lx4h" minOccurs="0"/>
                <xsd:element ref="ns2:uq5p" minOccurs="0"/>
                <xsd:element ref="ns2:wskv" minOccurs="0"/>
                <xsd:element ref="ns2:cuke" minOccurs="0"/>
                <xsd:element ref="ns2:wuxb" minOccurs="0"/>
                <xsd:element ref="ns2:pgj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bf49f-21ba-4487-b1fa-ffc4a5473ca3" elementFormDefault="qualified">
    <xsd:import namespace="http://schemas.microsoft.com/office/2006/documentManagement/types"/>
    <xsd:import namespace="http://schemas.microsoft.com/office/infopath/2007/PartnerControls"/>
    <xsd:element name="Division" ma:index="2" nillable="true" ma:displayName="Division" ma:default="AA &amp; SA" ma:format="Dropdown" ma:internalName="Division">
      <xsd:simpleType>
        <xsd:restriction base="dms:Choice">
          <xsd:enumeration value="AA &amp; SA"/>
          <xsd:enumeration value="ANF"/>
          <xsd:enumeration value="Committee"/>
          <xsd:enumeration value="Info"/>
          <xsd:enumeration value="Initatives"/>
          <xsd:enumeration value="President"/>
          <xsd:enumeration value="UDAE"/>
          <xsd:enumeration value="Other"/>
        </xsd:restriction>
      </xsd:simpleType>
    </xsd:element>
    <xsd:element name="Department" ma:index="3" nillable="true" ma:displayName="Department" ma:default="ADA Compliance" ma:format="Dropdown" ma:internalName="Department">
      <xsd:simpleType>
        <xsd:restriction base="dms:Choice">
          <xsd:enumeration value="AAFSA (The African American Faculty and Staff Association)"/>
          <xsd:enumeration value="Acadaffairs CMS Folder (Academic Affairs)"/>
          <xsd:enumeration value="ACADEMIC ADVISING"/>
          <xsd:enumeration value="ACE (First-Year Advising)"/>
          <xsd:enumeration value="ADA Compliance"/>
          <xsd:enumeration value="ADMIN &amp; FINANCE (CMS Folder)"/>
          <xsd:enumeration value="ADVANCEMENT"/>
          <xsd:enumeration value="ALUMNI"/>
          <xsd:enumeration value="ANF"/>
          <xsd:enumeration value="ANNUAL GIVING"/>
          <xsd:enumeration value="APA (Administrative and Professional Association)"/>
          <xsd:enumeration value="ARMY ROTC"/>
          <xsd:enumeration value="ASSESSMENT"/>
          <xsd:enumeration value="Athletics"/>
          <xsd:enumeration value="AUXILIARY OVERSIGHT COMMITTEE"/>
          <xsd:enumeration value="BIOSAFETY (Institutional Biosafety Committee)"/>
          <xsd:enumeration value="BOOKSTORE (Site and Bookstore Advisory Council)"/>
          <xsd:enumeration value="BROOKS COLLEGE OF HEALTH"/>
          <xsd:enumeration value="BUSINESS SERVICES"/>
          <xsd:enumeration value="CAMPS"/>
          <xsd:enumeration value="CAMPUS LIFE"/>
          <xsd:enumeration value="CAMPUS PLANNING"/>
          <xsd:enumeration value="CAREER SERVICES"/>
          <xsd:enumeration value="CATALOGS"/>
          <xsd:enumeration value="CCBL (Center for Community-Based Learning)"/>
          <xsd:enumeration value="CCEC (College of Computing, Engineering and Construction)"/>
          <xsd:enumeration value="CE (Division of Continuing Education)"/>
          <xsd:enumeration value="CIRT (Center for Instruction and Research Technology)"/>
          <xsd:enumeration value="CLERY ACT Committee"/>
          <xsd:enumeration value="CLUB ALLIANCE (Student Government)"/>
          <xsd:enumeration value="COAS (College of Arts &amp; Sciences)"/>
          <xsd:enumeration value="COEHS (College of Education and Human Services)"/>
          <xsd:enumeration value="COGGIN (Coggin College of Business)"/>
          <xsd:enumeration value="COMMENCEMENT"/>
          <xsd:enumeration value="COMMUNICATION TRAINING"/>
          <xsd:enumeration value="COMMUNITY ENGAGEMENT"/>
          <xsd:enumeration value="COMPLIANCE OFFICE"/>
          <xsd:enumeration value="CONDUCT (Student Conduct Office)"/>
          <xsd:enumeration value="CONTINUING EDUCATION"/>
          <xsd:enumeration value="CONTROLLER"/>
          <xsd:enumeration value="COUNSELING CENTER"/>
          <xsd:enumeration value="CPDT (Center for Professional Development and Training)"/>
          <xsd:enumeration value="DDI (Department of Diversity Initiatives)"/>
          <xsd:enumeration value="DEAN OF STUDENTS"/>
          <xsd:enumeration value="DEVELOPMENT (University Development and Alumni Engagement )"/>
          <xsd:enumeration value="DHI (Digital Humanities Institute)"/>
          <xsd:enumeration value="DINING SERVICES"/>
          <xsd:enumeration value="DISTANCE LEARNING"/>
          <xsd:enumeration value="DIVERSITY (Commission on Diversity and Inclusion (CODI))"/>
          <xsd:enumeration value="DRC (Disability Resource Center)"/>
          <xsd:enumeration value="ECENTER (Environmental Center)"/>
          <xsd:enumeration value="EMERGENCY"/>
          <xsd:enumeration value="ENGLISH LANGUAGE PROGRAM"/>
          <xsd:enumeration value="ENROLLMENT"/>
          <xsd:enumeration value="EOI (Equal Opportunity and Inclusion)"/>
          <xsd:enumeration value="Employment Opportunities"/>
          <xsd:enumeration value="ETHICS (Compliance, Ethics and Risk Oversight Committee (CEROC))"/>
          <xsd:enumeration value="EHS (Environmental Health &amp; Safety)"/>
          <xsd:enumeration value="FIE (Florida Institute of Education)"/>
          <xsd:enumeration value="FINE ARTS CENTER"/>
          <xsd:enumeration value="FOOD SERVICE (Food Services Advisory Council)"/>
          <xsd:enumeration value="FRATERNITY AND SORORITY"/>
          <xsd:enumeration value="FOUNDATION"/>
          <xsd:enumeration value="FOUNDATION SCHOLARSHIP"/>
          <xsd:enumeration value="FURC (Florida Undergraduate Research Conference)"/>
          <xsd:enumeration value="GALLERY OF ART"/>
          <xsd:enumeration value="GENERAL COUNSEL"/>
          <xsd:enumeration value="GOV AFFAIRS (Government and Community Relation)"/>
          <xsd:enumeration value="GOLF COMPLEX (Golf Complex at the Hayt Learning Center)"/>
          <xsd:enumeration value="GRADUATE SCHOOL"/>
          <xsd:enumeration value="HICKS (Hicks Honors College)"/>
          <xsd:enumeration value="HIGH LEVEL"/>
          <xsd:enumeration value="HOMECOMING"/>
          <xsd:enumeration value="HOUSING"/>
          <xsd:enumeration value="HR (Human Resources)"/>
          <xsd:enumeration value="ICP (Intercultural Center for Peace )"/>
          <xsd:enumeration value="INTERCULTURAL CENTER"/>
          <xsd:enumeration value="INTERFAITH CENTER"/>
          <xsd:enumeration value="INTERNAL AUDITING"/>
          <xsd:enumeration value="INTL CENTER (International Center)"/>
          <xsd:enumeration value="IPC (Internet Presence Committee)"/>
          <xsd:enumeration value="IPTM"/>
          <xsd:enumeration value="ISQ (Instructional Satisfaction Questionnaire)"/>
          <xsd:enumeration value="IR (Office of Institutional Research and Assessment)"/>
          <xsd:enumeration value="ITS (Information Technology Services)"/>
          <xsd:enumeration value="LGBT RESOURCE CENTER"/>
          <xsd:enumeration value="LIBRARY"/>
          <xsd:enumeration value="MARKETING AND COMMUNICATIONS"/>
          <xsd:enumeration value="MASTER PLAN"/>
          <xsd:enumeration value="MILITARY VETERANS (Military &amp; Veterans Resource Center)"/>
          <xsd:enumeration value="MOCA"/>
          <xsd:enumeration value="MOTH (Movies on the House)"/>
          <xsd:enumeration value="NCAA (NCAA Self-Study Steering Committee)"/>
          <xsd:enumeration value="OFFICE OF FACULTY ENHANCEMENT"/>
          <xsd:enumeration value="OMBUDS (Student Ombuds)"/>
          <xsd:enumeration value="ON CAMPUS TRANSITION"/>
          <xsd:enumeration value="ONE JAX"/>
          <xsd:enumeration value="OSPREY LIFE &amp; PRODUCTION"/>
          <xsd:enumeration value="PARENTS (Parents Association)"/>
          <xsd:enumeration value="PARKING (Parking and Transportation Services)"/>
          <xsd:enumeration value="PARKING ADVISORY (Parking Advisory Council)"/>
          <xsd:enumeration value="PHYSICAL FACILITIES"/>
          <xsd:enumeration value="PLANNING BUDGET (Office of Planning and Budget)"/>
          <xsd:enumeration value="POLICIES AND REGULATIONS"/>
          <xsd:enumeration value="PMO (Project Management Office)"/>
          <xsd:enumeration value="PRESCHOOL"/>
          <xsd:enumeration value="PRIVACY OFFICE"/>
          <xsd:enumeration value="PROCUREMENT"/>
          <xsd:enumeration value="PRESIDENT(MAIN+GC,Policies)"/>
          <xsd:enumeration value="PUBLIC RELATIONS"/>
          <xsd:enumeration value="RECWELL (Recreation and Wellness)"/>
          <xsd:enumeration value="RESEARCH (Office of Research and Sponsored Programs)"/>
          <xsd:enumeration value="RETIRED FACULTY (The Retired Faculty Association )"/>
          <xsd:enumeration value="SASS (Student Academic Success Services)"/>
          <xsd:enumeration value="SG (Student Government)"/>
          <xsd:enumeration value="SHS (Student Health Services)"/>
          <xsd:enumeration value="SPACE (Space Committee)"/>
          <xsd:enumeration value="SRER (Institute for the Study of Race and Ethnic Relations)"/>
          <xsd:enumeration value="STUDENT AFFAIRS CMS folder"/>
          <xsd:enumeration value="STUDENT CONDUCT"/>
          <xsd:enumeration value="STUDENT FEES"/>
          <xsd:enumeration value="STUDENT HEALTH"/>
          <xsd:enumeration value="STUDENT MEDIA"/>
          <xsd:enumeration value="STUDENT UNION"/>
          <xsd:enumeration value="SUSTAINABILITY (Sustainability Committee)"/>
          <xsd:enumeration value="TAYLOR LEADERSHIP"/>
          <xsd:enumeration value="TIMELINE"/>
          <xsd:enumeration value="TITLE IX"/>
          <xsd:enumeration value="TRUSTEES"/>
          <xsd:enumeration value="TREASURY"/>
          <xsd:enumeration value="TSI/FOUNDATION ACCOUNTING"/>
          <xsd:enumeration value="UPD (University Police Department)"/>
          <xsd:enumeration value="UG STUDIES (Undergraduate Studies)"/>
          <xsd:enumeration value="UNFFA (Faculty Association)"/>
          <xsd:enumeration value="UNITED WAY"/>
          <xsd:enumeration value="UNIVERSITY CENTER"/>
          <xsd:enumeration value="USPA (University Support Personnel Association)"/>
          <xsd:enumeration value="UTC (University Technology Committee)"/>
          <xsd:enumeration value="VISUAL IDENTITY"/>
          <xsd:enumeration value="WE TRANSFORM"/>
          <xsd:enumeration value="WOMENS CENTER"/>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BOT New Regulations"/>
          <xsd:enumeration value="Policy and Regulations Templates"/>
          <xsd:enumeration value="Office of Undergraduate Research (OUR)"/>
          <xsd:enumeration value="(DLI) Digital Learning and Innovation Initiatives"/>
          <xsd:enumeration value="Global"/>
          <xsd:enumeration value="Community Alliance for Student Success (CASS)"/>
          <xsd:enumeration value="University Development and Alumni Engagement (UDAE)"/>
          <xsd:enumeration value="Guide to the Files in ADA Training"/>
          <xsd:enumeration value="Student Accessibility Services (SAS)"/>
        </xsd:restriction>
      </xsd:simpleType>
    </xsd:element>
    <xsd:element name="Document_x0020_Status" ma:index="4" ma:displayName="Status" ma:default="ADA Audit" ma:format="RadioButtons" ma:internalName="Document_x0020_Status">
      <xsd:simpleType>
        <xsd:restriction base="dms:Choice">
          <xsd:enumeration value="Certified"/>
          <xsd:enumeration value="ADA Audit"/>
          <xsd:enumeration value="Training Information"/>
          <xsd:enumeration value="Superuser/Editor Needs Assistance"/>
          <xsd:enumeration value="Certified Regulations"/>
          <xsd:enumeration value="Certified Files Loaded to Ektron"/>
          <xsd:enumeration value="COAS Inventories and Information"/>
        </xsd:restriction>
      </xsd:simpleType>
    </xsd:element>
    <xsd:element name="Month" ma:index="11" nillable="true" ma:displayName="Month" ma:default="NONE" ma:format="Dropdown" ma:internalName="Month">
      <xsd:simpleType>
        <xsd:restriction base="dms:Choice">
          <xsd:enumeration value="NON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enumeration value="January 2020"/>
          <xsd:enumeration value="February  2020"/>
          <xsd:enumeration value="March 2020"/>
          <xsd:enumeration value="April 2020"/>
          <xsd:enumeration value="May 2020"/>
          <xsd:enumeration value="June 2020"/>
          <xsd:enumeration value="July 2020"/>
          <xsd:enumeration value="August 2020"/>
          <xsd:enumeration value="September 2020"/>
          <xsd:enumeration value="October 2020"/>
          <xsd:enumeration value="November 2020"/>
          <xsd:enumeration value="December 2020"/>
        </xsd:restriction>
      </xsd:simpleType>
    </xsd:element>
    <xsd:element name="lx4h" ma:index="12" nillable="true" ma:displayName="Person or Group" ma:list="UserInfo" ma:internalName="lx4h">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q5p" ma:index="13" nillable="true" ma:displayName="Date and Time" ma:internalName="uq5p">
      <xsd:simpleType>
        <xsd:restriction base="dms:DateTime"/>
      </xsd:simpleType>
    </xsd:element>
    <xsd:element name="wskv" ma:index="14" nillable="true" ma:displayName="Number" ma:internalName="wskv">
      <xsd:simpleType>
        <xsd:restriction base="dms:Number"/>
      </xsd:simpleType>
    </xsd:element>
    <xsd:element name="cuke" ma:index="15" nillable="true" ma:displayName="Text" ma:internalName="cuke">
      <xsd:simpleType>
        <xsd:restriction base="dms:Text"/>
      </xsd:simpleType>
    </xsd:element>
    <xsd:element name="wuxb" ma:index="16" nillable="true" ma:displayName="Number" ma:internalName="wuxb">
      <xsd:simpleType>
        <xsd:restriction base="dms:Number"/>
      </xsd:simpleType>
    </xsd:element>
    <xsd:element name="pgjr" ma:index="17" nillable="true" ma:displayName="Person or Group" ma:list="UserInfo" ma:internalName="pgj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onth xmlns="a8fbf49f-21ba-4487-b1fa-ffc4a5473ca3">September 2020</Month>
    <Division xmlns="a8fbf49f-21ba-4487-b1fa-ffc4a5473ca3">AA &amp; SA</Division>
    <Department xmlns="a8fbf49f-21ba-4487-b1fa-ffc4a5473ca3">Acadaffairs CMS Folder (Academic Affairs)</Department>
    <Document_x0020_Status xmlns="a8fbf49f-21ba-4487-b1fa-ffc4a5473ca3">Certified</Document_x0020_Status>
    <wskv xmlns="a8fbf49f-21ba-4487-b1fa-ffc4a5473ca3" xsi:nil="true"/>
    <lx4h xmlns="a8fbf49f-21ba-4487-b1fa-ffc4a5473ca3">
      <UserInfo>
        <DisplayName/>
        <AccountId xsi:nil="true"/>
        <AccountType/>
      </UserInfo>
    </lx4h>
    <uq5p xmlns="a8fbf49f-21ba-4487-b1fa-ffc4a5473ca3" xsi:nil="true"/>
    <pgjr xmlns="a8fbf49f-21ba-4487-b1fa-ffc4a5473ca3">
      <UserInfo>
        <DisplayName/>
        <AccountId xsi:nil="true"/>
        <AccountType/>
      </UserInfo>
    </pgjr>
    <wuxb xmlns="a8fbf49f-21ba-4487-b1fa-ffc4a5473ca3" xsi:nil="true"/>
    <cuke xmlns="a8fbf49f-21ba-4487-b1fa-ffc4a5473ca3"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36E5999-ECD5-4BAE-910D-5316D2693AFB}">
  <ds:schemaRefs>
    <ds:schemaRef ds:uri="http://schemas.microsoft.com/sharepoint/v3/contenttype/forms"/>
  </ds:schemaRefs>
</ds:datastoreItem>
</file>

<file path=customXml/itemProps2.xml><?xml version="1.0" encoding="utf-8"?>
<ds:datastoreItem xmlns:ds="http://schemas.openxmlformats.org/officeDocument/2006/customXml" ds:itemID="{DCDAC592-8554-4A4C-B507-26A1B3D7E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bf49f-21ba-4487-b1fa-ffc4a5473c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DA3DC-A9C0-4A0A-9558-B2CB95C8A6DD}">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a8fbf49f-21ba-4487-b1fa-ffc4a5473ca3"/>
    <ds:schemaRef ds:uri="http://www.w3.org/XML/1998/namespace"/>
  </ds:schemaRefs>
</ds:datastoreItem>
</file>

<file path=customXml/itemProps4.xml><?xml version="1.0" encoding="utf-8"?>
<ds:datastoreItem xmlns:ds="http://schemas.openxmlformats.org/officeDocument/2006/customXml" ds:itemID="{1B8B444E-3FD3-41FE-8158-1700E45AE78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2122</Words>
  <Characters>12100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REPAIREDEcon and Geography Promotion and Tenure Guidelines FINAL</vt:lpstr>
    </vt:vector>
  </TitlesOfParts>
  <Company>University of North Florida</Company>
  <LinksUpToDate>false</LinksUpToDate>
  <CharactersWithSpaces>14194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Business</dc:creator>
  <cp:keywords/>
  <cp:lastModifiedBy>Jaffee, Marianne</cp:lastModifiedBy>
  <cp:revision>2</cp:revision>
  <cp:lastPrinted>2008-08-28T19:37:00Z</cp:lastPrinted>
  <dcterms:created xsi:type="dcterms:W3CDTF">2021-08-02T13:50:00Z</dcterms:created>
  <dcterms:modified xsi:type="dcterms:W3CDTF">2021-08-02T13:50:00Z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0x010100330B4FFE9BA0204FB96D85A847CFAF2C</vt:lpwstr>
  </property>
</Properties>
</file>